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8825D" w14:textId="77777777" w:rsidR="00B23631" w:rsidRDefault="00D13F28" w:rsidP="00B23631">
      <w:pPr>
        <w:tabs>
          <w:tab w:val="center" w:pos="4536"/>
          <w:tab w:val="left" w:pos="672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ОБОСНОВКА НА ТЕХНИКО ИКОНОМИЧЕСКИТЕ ПОКАЗАТЕЛИ В ПРОИЗВОДСТВОТО И НА ПРОГНОЗНИТЕ ЦЕНООБРАЗУВАЩИ ЕЛЕМЕНТИ НА „ТЕЦ ГОРНА ОРЯХОВИЦА“ ЕАД</w:t>
      </w:r>
    </w:p>
    <w:p w14:paraId="786DF6CF" w14:textId="77777777" w:rsidR="00D13F28" w:rsidRDefault="00D13F28" w:rsidP="00B23631">
      <w:pPr>
        <w:tabs>
          <w:tab w:val="center" w:pos="4536"/>
          <w:tab w:val="left" w:pos="672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ГОРНА ОРЯХОВИЦА</w:t>
      </w:r>
    </w:p>
    <w:p w14:paraId="2DA258EA" w14:textId="77777777" w:rsidR="00D13F28" w:rsidRDefault="00D13F28" w:rsidP="00E260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39CA45" w14:textId="77777777" w:rsidR="00D13F28" w:rsidRPr="009A715E" w:rsidRDefault="00F66E48" w:rsidP="00E2606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УВАЖАЕМИ ГОСПОДИН ПРЕДСЕДАТЕЛ,</w:t>
      </w:r>
    </w:p>
    <w:p w14:paraId="6C119AEC" w14:textId="4174594F" w:rsidR="00F66E48" w:rsidRPr="009A715E" w:rsidRDefault="00F66E48" w:rsidP="00E26067">
      <w:pPr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Предложението за цени за новия регулаторен период 01.</w:t>
      </w:r>
      <w:r w:rsidR="006B132D" w:rsidRPr="009A715E">
        <w:rPr>
          <w:rFonts w:ascii="Times New Roman" w:hAnsi="Times New Roman" w:cs="Times New Roman"/>
          <w:sz w:val="26"/>
          <w:szCs w:val="26"/>
        </w:rPr>
        <w:t>07.20</w:t>
      </w:r>
      <w:r w:rsidR="006B132D" w:rsidRPr="009A715E"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5</w:t>
      </w:r>
      <w:r w:rsidR="00BF76CE" w:rsidRPr="009A715E">
        <w:rPr>
          <w:rFonts w:ascii="Times New Roman" w:hAnsi="Times New Roman" w:cs="Times New Roman"/>
          <w:sz w:val="26"/>
          <w:szCs w:val="26"/>
        </w:rPr>
        <w:t>-30.06.20</w:t>
      </w:r>
      <w:r w:rsidR="00BF76CE" w:rsidRPr="009A715E"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на „ТЕЦ Горна Оряховица“ ЕАД  е разработено при спазване на изискванията на Наредба № 5 от 23 януари 2014 г. за  регулиране на </w:t>
      </w:r>
      <w:r w:rsidR="00F74264" w:rsidRPr="009A715E">
        <w:rPr>
          <w:rFonts w:ascii="Times New Roman" w:hAnsi="Times New Roman" w:cs="Times New Roman"/>
          <w:sz w:val="26"/>
          <w:szCs w:val="26"/>
        </w:rPr>
        <w:t>цените на топлинната енергия и</w:t>
      </w:r>
      <w:r w:rsidRPr="009A715E">
        <w:rPr>
          <w:rFonts w:ascii="Times New Roman" w:hAnsi="Times New Roman" w:cs="Times New Roman"/>
          <w:sz w:val="26"/>
          <w:szCs w:val="26"/>
        </w:rPr>
        <w:t xml:space="preserve"> Наредба № 1 от 18.03.2013г. за регулиране на цените на електрическата енергия. Спазени са и стриктно Указанията за образуване на цените на топлинната енергия и на електрическата енергия от комбинирано производство при регулиране чрез метода „норма на възвръщаемост на капитала” приети от Ко</w:t>
      </w:r>
      <w:r w:rsidR="00FF2713" w:rsidRPr="009A715E">
        <w:rPr>
          <w:rFonts w:ascii="Times New Roman" w:hAnsi="Times New Roman" w:cs="Times New Roman"/>
          <w:sz w:val="26"/>
          <w:szCs w:val="26"/>
        </w:rPr>
        <w:t xml:space="preserve">мисията с протоколно Решение № </w:t>
      </w:r>
      <w:r w:rsidR="00F463F5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116 </w:t>
      </w:r>
      <w:r w:rsidRPr="009A715E">
        <w:rPr>
          <w:rFonts w:ascii="Times New Roman" w:hAnsi="Times New Roman" w:cs="Times New Roman"/>
          <w:sz w:val="26"/>
          <w:szCs w:val="26"/>
        </w:rPr>
        <w:t xml:space="preserve">от </w:t>
      </w:r>
      <w:r w:rsidR="00F463F5" w:rsidRPr="009A715E">
        <w:rPr>
          <w:rFonts w:ascii="Times New Roman" w:hAnsi="Times New Roman" w:cs="Times New Roman"/>
          <w:sz w:val="26"/>
          <w:szCs w:val="26"/>
          <w:lang w:val="en-GB"/>
        </w:rPr>
        <w:t>26</w:t>
      </w:r>
      <w:r w:rsidR="00FF2713" w:rsidRPr="009A715E">
        <w:rPr>
          <w:rFonts w:ascii="Times New Roman" w:hAnsi="Times New Roman" w:cs="Times New Roman"/>
          <w:sz w:val="26"/>
          <w:szCs w:val="26"/>
        </w:rPr>
        <w:t>.0</w:t>
      </w:r>
      <w:r w:rsidR="00F463F5" w:rsidRPr="009A715E">
        <w:rPr>
          <w:rFonts w:ascii="Times New Roman" w:hAnsi="Times New Roman" w:cs="Times New Roman"/>
          <w:sz w:val="26"/>
          <w:szCs w:val="26"/>
          <w:lang w:val="en-US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>.201</w:t>
      </w:r>
      <w:r w:rsidR="00F463F5" w:rsidRPr="009A715E">
        <w:rPr>
          <w:rFonts w:ascii="Times New Roman" w:hAnsi="Times New Roman" w:cs="Times New Roman"/>
          <w:sz w:val="26"/>
          <w:szCs w:val="26"/>
          <w:lang w:val="en-GB"/>
        </w:rPr>
        <w:t>8</w:t>
      </w:r>
      <w:r w:rsidR="00F463F5" w:rsidRPr="009A715E">
        <w:rPr>
          <w:rFonts w:ascii="Times New Roman" w:hAnsi="Times New Roman" w:cs="Times New Roman"/>
          <w:sz w:val="26"/>
          <w:szCs w:val="26"/>
        </w:rPr>
        <w:t xml:space="preserve"> г. по т.</w:t>
      </w:r>
      <w:r w:rsidR="00F463F5" w:rsidRPr="009A715E">
        <w:rPr>
          <w:rFonts w:ascii="Times New Roman" w:hAnsi="Times New Roman" w:cs="Times New Roman"/>
          <w:sz w:val="26"/>
          <w:szCs w:val="26"/>
          <w:lang w:val="en-US"/>
        </w:rPr>
        <w:t>1</w:t>
      </w:r>
      <w:r w:rsidRPr="009A715E">
        <w:rPr>
          <w:rFonts w:ascii="Times New Roman" w:hAnsi="Times New Roman" w:cs="Times New Roman"/>
          <w:sz w:val="26"/>
          <w:szCs w:val="26"/>
        </w:rPr>
        <w:t xml:space="preserve"> на КЕВР.</w:t>
      </w:r>
    </w:p>
    <w:p w14:paraId="3A2F1894" w14:textId="4D1A7E62" w:rsidR="002473C6" w:rsidRPr="009A715E" w:rsidRDefault="00D13F28" w:rsidP="00FF2713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За новия ценови период прогнозните технико икономически показатели и ценообразуващи елементи са изготвени в съответствие с програмата на двата завода – Завод за спирт и Завод за захар, които са основни консуматори на топлоенергия от ТЕЦ. За периода  се очаква </w:t>
      </w:r>
      <w:r w:rsidR="002473C6" w:rsidRPr="009A715E">
        <w:rPr>
          <w:rFonts w:ascii="Times New Roman" w:hAnsi="Times New Roman" w:cs="Times New Roman"/>
          <w:sz w:val="26"/>
          <w:szCs w:val="26"/>
        </w:rPr>
        <w:t>една</w:t>
      </w:r>
      <w:r w:rsidRPr="009A715E">
        <w:rPr>
          <w:rFonts w:ascii="Times New Roman" w:hAnsi="Times New Roman" w:cs="Times New Roman"/>
          <w:sz w:val="26"/>
          <w:szCs w:val="26"/>
        </w:rPr>
        <w:t xml:space="preserve"> кампан</w:t>
      </w:r>
      <w:r w:rsidR="000B73FF" w:rsidRPr="009A715E">
        <w:rPr>
          <w:rFonts w:ascii="Times New Roman" w:hAnsi="Times New Roman" w:cs="Times New Roman"/>
          <w:sz w:val="26"/>
          <w:szCs w:val="26"/>
        </w:rPr>
        <w:t>и</w:t>
      </w:r>
      <w:r w:rsidR="002473C6" w:rsidRPr="009A715E">
        <w:rPr>
          <w:rFonts w:ascii="Times New Roman" w:hAnsi="Times New Roman" w:cs="Times New Roman"/>
          <w:sz w:val="26"/>
          <w:szCs w:val="26"/>
        </w:rPr>
        <w:t>я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3063BB" w:rsidRPr="009A715E">
        <w:rPr>
          <w:rFonts w:ascii="Times New Roman" w:hAnsi="Times New Roman" w:cs="Times New Roman"/>
          <w:sz w:val="26"/>
          <w:szCs w:val="26"/>
        </w:rPr>
        <w:t xml:space="preserve">със Завод за захар </w:t>
      </w:r>
      <w:r w:rsidRPr="009A715E">
        <w:rPr>
          <w:rFonts w:ascii="Times New Roman" w:hAnsi="Times New Roman" w:cs="Times New Roman"/>
          <w:sz w:val="26"/>
          <w:szCs w:val="26"/>
        </w:rPr>
        <w:t>за преработка на</w:t>
      </w:r>
      <w:r w:rsidR="00AB3BEE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2473C6" w:rsidRPr="009A715E">
        <w:rPr>
          <w:rFonts w:ascii="Times New Roman" w:hAnsi="Times New Roman" w:cs="Times New Roman"/>
          <w:sz w:val="26"/>
          <w:szCs w:val="26"/>
        </w:rPr>
        <w:t>30</w:t>
      </w:r>
      <w:r w:rsidR="00E87AB6" w:rsidRPr="009A715E">
        <w:rPr>
          <w:rFonts w:ascii="Times New Roman" w:hAnsi="Times New Roman" w:cs="Times New Roman"/>
          <w:sz w:val="26"/>
          <w:szCs w:val="26"/>
        </w:rPr>
        <w:t xml:space="preserve"> 000</w:t>
      </w:r>
      <w:r w:rsidRPr="009A715E">
        <w:rPr>
          <w:rFonts w:ascii="Times New Roman" w:hAnsi="Times New Roman" w:cs="Times New Roman"/>
          <w:sz w:val="26"/>
          <w:szCs w:val="26"/>
        </w:rPr>
        <w:t xml:space="preserve"> т. сурова захар </w:t>
      </w:r>
      <w:r w:rsidR="003063BB" w:rsidRPr="009A715E">
        <w:rPr>
          <w:rFonts w:ascii="Times New Roman" w:hAnsi="Times New Roman" w:cs="Times New Roman"/>
          <w:sz w:val="26"/>
          <w:szCs w:val="26"/>
        </w:rPr>
        <w:t xml:space="preserve">заедно със Завод за спирт </w:t>
      </w:r>
      <w:r w:rsidR="004A43CD" w:rsidRPr="009A715E">
        <w:rPr>
          <w:rFonts w:ascii="Times New Roman" w:hAnsi="Times New Roman" w:cs="Times New Roman"/>
          <w:sz w:val="26"/>
          <w:szCs w:val="26"/>
        </w:rPr>
        <w:t>през м.</w:t>
      </w:r>
      <w:r w:rsidR="002473C6" w:rsidRPr="009A715E">
        <w:rPr>
          <w:rFonts w:ascii="Times New Roman" w:hAnsi="Times New Roman" w:cs="Times New Roman"/>
          <w:sz w:val="26"/>
          <w:szCs w:val="26"/>
        </w:rPr>
        <w:t>юли</w:t>
      </w:r>
      <w:r w:rsidR="006B132D" w:rsidRPr="009A715E">
        <w:rPr>
          <w:rFonts w:ascii="Times New Roman" w:hAnsi="Times New Roman" w:cs="Times New Roman"/>
          <w:sz w:val="26"/>
          <w:szCs w:val="26"/>
        </w:rPr>
        <w:t xml:space="preserve"> – м. </w:t>
      </w:r>
      <w:r w:rsidR="002473C6" w:rsidRPr="009A715E">
        <w:rPr>
          <w:rFonts w:ascii="Times New Roman" w:hAnsi="Times New Roman" w:cs="Times New Roman"/>
          <w:sz w:val="26"/>
          <w:szCs w:val="26"/>
        </w:rPr>
        <w:t>август</w:t>
      </w:r>
      <w:r w:rsidR="00F351BB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202</w:t>
      </w:r>
      <w:r w:rsidR="00066794">
        <w:rPr>
          <w:rFonts w:ascii="Times New Roman" w:hAnsi="Times New Roman" w:cs="Times New Roman"/>
          <w:sz w:val="26"/>
          <w:szCs w:val="26"/>
        </w:rPr>
        <w:t>5</w:t>
      </w:r>
      <w:r w:rsidR="00F351BB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F351BB" w:rsidRPr="009A715E">
        <w:rPr>
          <w:rFonts w:ascii="Times New Roman" w:hAnsi="Times New Roman" w:cs="Times New Roman"/>
          <w:sz w:val="26"/>
          <w:szCs w:val="26"/>
        </w:rPr>
        <w:t>г.</w:t>
      </w:r>
      <w:r w:rsidR="00AB3BEE" w:rsidRPr="009A715E">
        <w:rPr>
          <w:rFonts w:ascii="Times New Roman" w:hAnsi="Times New Roman" w:cs="Times New Roman"/>
          <w:sz w:val="26"/>
          <w:szCs w:val="26"/>
        </w:rPr>
        <w:t xml:space="preserve">  с</w:t>
      </w:r>
      <w:r w:rsidR="00F74264" w:rsidRPr="009A715E">
        <w:rPr>
          <w:rFonts w:ascii="Times New Roman" w:hAnsi="Times New Roman" w:cs="Times New Roman"/>
          <w:sz w:val="26"/>
          <w:szCs w:val="26"/>
        </w:rPr>
        <w:t xml:space="preserve"> ПГ №1 при натоварване 50-5</w:t>
      </w:r>
      <w:r w:rsidR="00846148" w:rsidRPr="009A715E">
        <w:rPr>
          <w:rFonts w:ascii="Times New Roman" w:hAnsi="Times New Roman" w:cs="Times New Roman"/>
          <w:sz w:val="26"/>
          <w:szCs w:val="26"/>
        </w:rPr>
        <w:t>4</w:t>
      </w:r>
      <w:r w:rsidR="00F74264" w:rsidRPr="009A715E">
        <w:rPr>
          <w:rFonts w:ascii="Times New Roman" w:hAnsi="Times New Roman" w:cs="Times New Roman"/>
          <w:sz w:val="26"/>
          <w:szCs w:val="26"/>
        </w:rPr>
        <w:t xml:space="preserve"> т/ч</w:t>
      </w:r>
      <w:r w:rsidR="006D79F6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 xml:space="preserve">или  реализация на </w:t>
      </w:r>
    </w:p>
    <w:p w14:paraId="7A71321D" w14:textId="339B8882" w:rsidR="000B73FF" w:rsidRPr="009A715E" w:rsidRDefault="002473C6" w:rsidP="00FF2713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34</w:t>
      </w:r>
      <w:r w:rsidR="00E87AB6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>000</w:t>
      </w:r>
      <w:r w:rsidR="000B73FF" w:rsidRPr="009A71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13F28" w:rsidRPr="009A715E">
        <w:rPr>
          <w:rFonts w:ascii="Times New Roman" w:hAnsi="Times New Roman" w:cs="Times New Roman"/>
          <w:sz w:val="26"/>
          <w:szCs w:val="26"/>
        </w:rPr>
        <w:t>Мвт</w:t>
      </w:r>
      <w:r w:rsidR="00D13F28" w:rsidRPr="009A715E">
        <w:rPr>
          <w:rFonts w:ascii="Times New Roman" w:hAnsi="Times New Roman" w:cs="Times New Roman"/>
          <w:sz w:val="26"/>
          <w:szCs w:val="26"/>
          <w:vertAlign w:val="subscript"/>
        </w:rPr>
        <w:t>т</w:t>
      </w:r>
      <w:proofErr w:type="spellEnd"/>
      <w:r w:rsidR="00D13F28" w:rsidRPr="009A715E">
        <w:rPr>
          <w:rFonts w:ascii="Times New Roman" w:hAnsi="Times New Roman" w:cs="Times New Roman"/>
          <w:sz w:val="26"/>
          <w:szCs w:val="26"/>
          <w:vertAlign w:val="subscript"/>
        </w:rPr>
        <w:t xml:space="preserve">.е. 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и производство </w:t>
      </w:r>
      <w:r w:rsidRPr="009A715E">
        <w:rPr>
          <w:rFonts w:ascii="Times New Roman" w:hAnsi="Times New Roman" w:cs="Times New Roman"/>
          <w:sz w:val="26"/>
          <w:szCs w:val="26"/>
        </w:rPr>
        <w:t>3 375</w:t>
      </w:r>
      <w:r w:rsidR="004A43CD" w:rsidRPr="009A71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13F28" w:rsidRPr="009A715E">
        <w:rPr>
          <w:rFonts w:ascii="Times New Roman" w:hAnsi="Times New Roman" w:cs="Times New Roman"/>
          <w:sz w:val="26"/>
          <w:szCs w:val="26"/>
        </w:rPr>
        <w:t>Мвт</w:t>
      </w:r>
      <w:proofErr w:type="spellEnd"/>
      <w:r w:rsidR="00D13F28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D13F28" w:rsidRPr="009A715E">
        <w:rPr>
          <w:rFonts w:ascii="Times New Roman" w:hAnsi="Times New Roman" w:cs="Times New Roman"/>
          <w:sz w:val="26"/>
          <w:szCs w:val="26"/>
          <w:vertAlign w:val="subscript"/>
        </w:rPr>
        <w:t>ел.</w:t>
      </w:r>
      <w:proofErr w:type="spellStart"/>
      <w:r w:rsidR="00D13F28" w:rsidRPr="009A715E">
        <w:rPr>
          <w:rFonts w:ascii="Times New Roman" w:hAnsi="Times New Roman" w:cs="Times New Roman"/>
          <w:sz w:val="26"/>
          <w:szCs w:val="26"/>
          <w:vertAlign w:val="subscript"/>
        </w:rPr>
        <w:t>ен</w:t>
      </w:r>
      <w:proofErr w:type="spellEnd"/>
      <w:r w:rsidR="003226D6" w:rsidRPr="009A715E">
        <w:rPr>
          <w:rFonts w:ascii="Times New Roman" w:hAnsi="Times New Roman" w:cs="Times New Roman"/>
          <w:sz w:val="26"/>
          <w:szCs w:val="26"/>
          <w:vertAlign w:val="subscript"/>
        </w:rPr>
        <w:t>.</w:t>
      </w:r>
    </w:p>
    <w:p w14:paraId="639C6F67" w14:textId="77777777" w:rsidR="00FF2713" w:rsidRPr="009A715E" w:rsidRDefault="00FF2713" w:rsidP="00FF2713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120AF6BF" w14:textId="3B702F06" w:rsidR="00222250" w:rsidRPr="009A715E" w:rsidRDefault="0052159B" w:rsidP="00FF2713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За новия ценови период се предвижда продажба на </w:t>
      </w:r>
      <w:r w:rsidR="002473C6" w:rsidRPr="009A715E">
        <w:rPr>
          <w:rFonts w:ascii="Times New Roman" w:hAnsi="Times New Roman" w:cs="Times New Roman"/>
          <w:sz w:val="26"/>
          <w:szCs w:val="26"/>
        </w:rPr>
        <w:t>2 635</w:t>
      </w:r>
      <w:r w:rsidR="00BF76CE" w:rsidRPr="009A71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FB7627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FB7627" w:rsidRPr="009A715E">
        <w:rPr>
          <w:rFonts w:ascii="Times New Roman" w:hAnsi="Times New Roman" w:cs="Times New Roman"/>
          <w:sz w:val="26"/>
          <w:szCs w:val="26"/>
        </w:rPr>
        <w:t>високоефективна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комбинирана </w:t>
      </w:r>
      <w:r w:rsidRPr="009A715E">
        <w:rPr>
          <w:rFonts w:ascii="Times New Roman" w:hAnsi="Times New Roman" w:cs="Times New Roman"/>
          <w:sz w:val="26"/>
          <w:szCs w:val="26"/>
        </w:rPr>
        <w:t xml:space="preserve">ел.енергия, като </w:t>
      </w:r>
      <w:r w:rsidR="00D54514" w:rsidRPr="009A715E">
        <w:rPr>
          <w:rFonts w:ascii="Times New Roman" w:hAnsi="Times New Roman" w:cs="Times New Roman"/>
          <w:sz w:val="26"/>
          <w:szCs w:val="26"/>
        </w:rPr>
        <w:t>–</w:t>
      </w:r>
      <w:r w:rsidR="0078298E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473C6" w:rsidRPr="009A715E">
        <w:rPr>
          <w:rFonts w:ascii="Times New Roman" w:hAnsi="Times New Roman" w:cs="Times New Roman"/>
          <w:sz w:val="26"/>
          <w:szCs w:val="26"/>
        </w:rPr>
        <w:t>2 135</w:t>
      </w:r>
      <w:r w:rsidR="00401D4D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F613CD" w:rsidRPr="009A715E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F613CD" w:rsidRPr="009A715E">
        <w:rPr>
          <w:rFonts w:ascii="Times New Roman" w:hAnsi="Times New Roman" w:cs="Times New Roman"/>
          <w:sz w:val="26"/>
          <w:szCs w:val="26"/>
        </w:rPr>
        <w:t xml:space="preserve"> е </w:t>
      </w:r>
      <w:r w:rsidR="00B46A07" w:rsidRPr="009A715E">
        <w:rPr>
          <w:rFonts w:ascii="Times New Roman" w:hAnsi="Times New Roman" w:cs="Times New Roman"/>
          <w:sz w:val="26"/>
          <w:szCs w:val="26"/>
        </w:rPr>
        <w:t xml:space="preserve">високо ефективната </w:t>
      </w:r>
      <w:r w:rsidR="00F613CD" w:rsidRPr="009A715E">
        <w:rPr>
          <w:rFonts w:ascii="Times New Roman" w:hAnsi="Times New Roman" w:cs="Times New Roman"/>
          <w:sz w:val="26"/>
          <w:szCs w:val="26"/>
        </w:rPr>
        <w:t>комбинирана ел.енергия</w:t>
      </w:r>
      <w:r w:rsidRPr="009A715E">
        <w:rPr>
          <w:rFonts w:ascii="Times New Roman" w:hAnsi="Times New Roman" w:cs="Times New Roman"/>
          <w:sz w:val="26"/>
          <w:szCs w:val="26"/>
        </w:rPr>
        <w:t>,</w:t>
      </w:r>
      <w:r w:rsidR="00F613CD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 xml:space="preserve">която ТЕЦ ще продаде </w:t>
      </w:r>
      <w:r w:rsidR="00F613CD" w:rsidRPr="009A715E">
        <w:rPr>
          <w:rFonts w:ascii="Times New Roman" w:hAnsi="Times New Roman" w:cs="Times New Roman"/>
          <w:sz w:val="26"/>
          <w:szCs w:val="26"/>
        </w:rPr>
        <w:t xml:space="preserve">на заводите от групата на „Захарни заводи“ АД </w:t>
      </w:r>
      <w:r w:rsidR="00B46A07" w:rsidRPr="009A715E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B46A07" w:rsidRPr="009A715E">
        <w:rPr>
          <w:rFonts w:ascii="Times New Roman" w:hAnsi="Times New Roman" w:cs="Times New Roman"/>
          <w:sz w:val="26"/>
          <w:szCs w:val="26"/>
        </w:rPr>
        <w:t>в изпълнение на чл.162, ал.1 ...количествата, които производителя ползва за собствени нужди и собствено потребление по смисъла на чл.119, ал.1</w:t>
      </w:r>
      <w:r w:rsidR="00B46A07" w:rsidRPr="009A715E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F613CD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B46A07" w:rsidRPr="009A715E">
        <w:rPr>
          <w:rFonts w:ascii="Times New Roman" w:hAnsi="Times New Roman" w:cs="Times New Roman"/>
          <w:sz w:val="26"/>
          <w:szCs w:val="26"/>
        </w:rPr>
        <w:t>и</w:t>
      </w:r>
      <w:r w:rsidR="00401D4D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473C6" w:rsidRPr="009A715E">
        <w:rPr>
          <w:rFonts w:ascii="Times New Roman" w:hAnsi="Times New Roman" w:cs="Times New Roman"/>
          <w:sz w:val="26"/>
          <w:szCs w:val="26"/>
        </w:rPr>
        <w:t>500</w:t>
      </w:r>
      <w:r w:rsidR="00F613CD" w:rsidRPr="009A71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613CD" w:rsidRPr="009A715E">
        <w:rPr>
          <w:rFonts w:ascii="Times New Roman" w:hAnsi="Times New Roman" w:cs="Times New Roman"/>
          <w:sz w:val="26"/>
          <w:szCs w:val="26"/>
        </w:rPr>
        <w:t>Мвтч</w:t>
      </w:r>
      <w:proofErr w:type="spellEnd"/>
      <w:r w:rsidR="00F613CD" w:rsidRPr="009A715E">
        <w:rPr>
          <w:rFonts w:ascii="Times New Roman" w:hAnsi="Times New Roman" w:cs="Times New Roman"/>
          <w:sz w:val="26"/>
          <w:szCs w:val="26"/>
        </w:rPr>
        <w:t xml:space="preserve"> е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0B73FF" w:rsidRPr="009A715E">
        <w:rPr>
          <w:rFonts w:ascii="Times New Roman" w:hAnsi="Times New Roman" w:cs="Times New Roman"/>
          <w:sz w:val="26"/>
          <w:szCs w:val="26"/>
        </w:rPr>
        <w:t xml:space="preserve">високоефективна 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комбинирана </w:t>
      </w:r>
      <w:r w:rsidRPr="009A715E">
        <w:rPr>
          <w:rFonts w:ascii="Times New Roman" w:hAnsi="Times New Roman" w:cs="Times New Roman"/>
          <w:sz w:val="26"/>
          <w:szCs w:val="26"/>
        </w:rPr>
        <w:t xml:space="preserve">ел. енергия </w:t>
      </w:r>
      <w:r w:rsidR="00B46A07" w:rsidRPr="009A715E">
        <w:rPr>
          <w:rFonts w:ascii="Times New Roman" w:hAnsi="Times New Roman" w:cs="Times New Roman"/>
          <w:sz w:val="26"/>
          <w:szCs w:val="26"/>
        </w:rPr>
        <w:t xml:space="preserve">произведена над количествата за собствено потребление и е </w:t>
      </w:r>
      <w:r w:rsidRPr="009A715E">
        <w:rPr>
          <w:rFonts w:ascii="Times New Roman" w:hAnsi="Times New Roman" w:cs="Times New Roman"/>
          <w:sz w:val="26"/>
          <w:szCs w:val="26"/>
        </w:rPr>
        <w:t xml:space="preserve">предвидена за </w:t>
      </w:r>
      <w:r w:rsidR="00BF76CE" w:rsidRPr="009A715E">
        <w:rPr>
          <w:rFonts w:ascii="Times New Roman" w:hAnsi="Times New Roman" w:cs="Times New Roman"/>
          <w:sz w:val="26"/>
          <w:szCs w:val="26"/>
        </w:rPr>
        <w:t>изкупуване на свободния пазар</w:t>
      </w:r>
      <w:r w:rsidR="00F613CD" w:rsidRPr="009A715E">
        <w:rPr>
          <w:rFonts w:ascii="Times New Roman" w:hAnsi="Times New Roman" w:cs="Times New Roman"/>
          <w:sz w:val="26"/>
          <w:szCs w:val="26"/>
        </w:rPr>
        <w:t>.</w:t>
      </w:r>
    </w:p>
    <w:p w14:paraId="49A8C3BE" w14:textId="77777777" w:rsidR="00222250" w:rsidRPr="009A715E" w:rsidRDefault="00222250" w:rsidP="00FF27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ED8A5F" w14:textId="77777777" w:rsidR="008262EC" w:rsidRPr="009A715E" w:rsidRDefault="000B37CF" w:rsidP="00FF2713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Условно постоянни разходи</w:t>
      </w:r>
    </w:p>
    <w:p w14:paraId="74E2361A" w14:textId="77777777" w:rsidR="00D13F28" w:rsidRPr="009A715E" w:rsidRDefault="00FF2713" w:rsidP="00FF2713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Р</w:t>
      </w:r>
      <w:r w:rsidR="000B37CF" w:rsidRPr="009A715E">
        <w:rPr>
          <w:rFonts w:ascii="Times New Roman" w:hAnsi="Times New Roman" w:cs="Times New Roman"/>
          <w:b/>
          <w:sz w:val="26"/>
          <w:szCs w:val="26"/>
        </w:rPr>
        <w:t>азходи за амортизации</w:t>
      </w:r>
    </w:p>
    <w:p w14:paraId="25426A40" w14:textId="1463FC97" w:rsidR="000348DB" w:rsidRPr="009A715E" w:rsidRDefault="00CA7EF1" w:rsidP="00FF27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Разходите за амортизации са </w:t>
      </w:r>
      <w:r w:rsidR="00285799" w:rsidRPr="009A715E">
        <w:rPr>
          <w:rFonts w:ascii="Times New Roman" w:hAnsi="Times New Roman" w:cs="Times New Roman"/>
          <w:sz w:val="26"/>
          <w:szCs w:val="26"/>
        </w:rPr>
        <w:t xml:space="preserve"> отчетени з</w:t>
      </w:r>
      <w:r w:rsidRPr="009A715E">
        <w:rPr>
          <w:rFonts w:ascii="Times New Roman" w:hAnsi="Times New Roman" w:cs="Times New Roman"/>
          <w:sz w:val="26"/>
          <w:szCs w:val="26"/>
        </w:rPr>
        <w:t>а 20</w:t>
      </w:r>
      <w:r w:rsidR="00066794">
        <w:rPr>
          <w:rFonts w:ascii="Times New Roman" w:hAnsi="Times New Roman" w:cs="Times New Roman"/>
          <w:sz w:val="26"/>
          <w:szCs w:val="26"/>
        </w:rPr>
        <w:t>24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</w:t>
      </w:r>
      <w:r w:rsidR="00285799" w:rsidRPr="009A715E">
        <w:rPr>
          <w:rFonts w:ascii="Times New Roman" w:hAnsi="Times New Roman" w:cs="Times New Roman"/>
          <w:sz w:val="26"/>
          <w:szCs w:val="26"/>
        </w:rPr>
        <w:t xml:space="preserve"> на стойност </w:t>
      </w:r>
      <w:r w:rsidR="00066794">
        <w:rPr>
          <w:rFonts w:ascii="Times New Roman" w:hAnsi="Times New Roman" w:cs="Times New Roman"/>
          <w:sz w:val="26"/>
          <w:szCs w:val="26"/>
        </w:rPr>
        <w:t>496</w:t>
      </w:r>
      <w:r w:rsidR="00285799" w:rsidRPr="009A715E">
        <w:rPr>
          <w:rFonts w:ascii="Times New Roman" w:hAnsi="Times New Roman" w:cs="Times New Roman"/>
          <w:sz w:val="26"/>
          <w:szCs w:val="26"/>
        </w:rPr>
        <w:t xml:space="preserve"> хил.лв.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FF2D4D0" w14:textId="77777777" w:rsidR="00D13F28" w:rsidRPr="009A715E" w:rsidRDefault="00D13F28" w:rsidP="00FF27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Отчитането на дълготрайните активи и амортизациите в дружеството е съгласно МСС 16 и приетата счетоводна политика. Имотите, машините, съоръженията и оборудването се оценяват първоначално</w:t>
      </w:r>
      <w:r w:rsidR="00FF2713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>по себестойност, включваща цената на придобиване, както и всички преки разходи за привеждането на актива в работно състояние.</w:t>
      </w:r>
    </w:p>
    <w:p w14:paraId="21DB3F47" w14:textId="77777777" w:rsidR="00D13F28" w:rsidRDefault="00D13F28" w:rsidP="00FF27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Последващите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 xml:space="preserve"> разходи, които възникват във връзка с ДМА след първоначалното признаване, се признават в Отчета за всеобхватните доходи в пери</w:t>
      </w:r>
      <w:r w:rsidR="000B37CF" w:rsidRPr="009A715E">
        <w:rPr>
          <w:rFonts w:ascii="Times New Roman" w:hAnsi="Times New Roman" w:cs="Times New Roman"/>
          <w:sz w:val="26"/>
          <w:szCs w:val="26"/>
        </w:rPr>
        <w:t>ода на тяхното възникване</w:t>
      </w:r>
      <w:r w:rsidR="000B37CF" w:rsidRPr="009A715E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0B37CF" w:rsidRPr="009A715E">
        <w:rPr>
          <w:rFonts w:ascii="Times New Roman" w:hAnsi="Times New Roman" w:cs="Times New Roman"/>
          <w:sz w:val="26"/>
          <w:szCs w:val="26"/>
        </w:rPr>
        <w:t xml:space="preserve"> освен</w:t>
      </w:r>
      <w:r w:rsidRPr="009A715E">
        <w:rPr>
          <w:rFonts w:ascii="Times New Roman" w:hAnsi="Times New Roman" w:cs="Times New Roman"/>
          <w:sz w:val="26"/>
          <w:szCs w:val="26"/>
        </w:rPr>
        <w:t xml:space="preserve"> ако има вероятност те да спомогнат на актива да генерира повече от първоначално предвидените бъдещи икономически изгоди и когато тези разходи могат надеждно да бъдат оценени и отнесени към актива. В тези случаи разходите се добавят към себестойността на актива. Амортизацията на дълготрайните </w:t>
      </w:r>
      <w:r w:rsidRPr="009A715E">
        <w:rPr>
          <w:rFonts w:ascii="Times New Roman" w:hAnsi="Times New Roman" w:cs="Times New Roman"/>
          <w:sz w:val="26"/>
          <w:szCs w:val="26"/>
        </w:rPr>
        <w:lastRenderedPageBreak/>
        <w:t>материални активи се начислява като се използва линейният метод върху оценения полезен живот на отделните групи активи, както следва: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2253"/>
        <w:gridCol w:w="3166"/>
      </w:tblGrid>
      <w:tr w:rsidR="00E21752" w14:paraId="02404447" w14:textId="77777777" w:rsidTr="00E21752">
        <w:tc>
          <w:tcPr>
            <w:tcW w:w="4077" w:type="dxa"/>
          </w:tcPr>
          <w:p w14:paraId="5E2B9DF1" w14:textId="77777777" w:rsidR="00E21752" w:rsidRDefault="00E21752" w:rsidP="00FF2713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</w:tcPr>
          <w:p w14:paraId="4A5712F9" w14:textId="73779564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години</w:t>
            </w:r>
          </w:p>
        </w:tc>
        <w:tc>
          <w:tcPr>
            <w:tcW w:w="3166" w:type="dxa"/>
          </w:tcPr>
          <w:p w14:paraId="097FADEE" w14:textId="3D02C10E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ГАК (%)</w:t>
            </w:r>
          </w:p>
        </w:tc>
      </w:tr>
      <w:tr w:rsidR="00E21752" w14:paraId="4223F09D" w14:textId="77777777" w:rsidTr="00E21752">
        <w:tc>
          <w:tcPr>
            <w:tcW w:w="4077" w:type="dxa"/>
          </w:tcPr>
          <w:p w14:paraId="76880FD6" w14:textId="787585F2" w:rsidR="00E21752" w:rsidRDefault="00E21752" w:rsidP="00E2175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 Сгради</w:t>
            </w: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ab/>
            </w:r>
          </w:p>
        </w:tc>
        <w:tc>
          <w:tcPr>
            <w:tcW w:w="2253" w:type="dxa"/>
          </w:tcPr>
          <w:p w14:paraId="5CD47FDA" w14:textId="53E1BEC5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166" w:type="dxa"/>
          </w:tcPr>
          <w:p w14:paraId="5F39A962" w14:textId="16607CA3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21752" w14:paraId="4754B854" w14:textId="77777777" w:rsidTr="00E21752">
        <w:tc>
          <w:tcPr>
            <w:tcW w:w="4077" w:type="dxa"/>
          </w:tcPr>
          <w:p w14:paraId="2BD5E564" w14:textId="78B6C0CC" w:rsidR="00E21752" w:rsidRPr="009A715E" w:rsidRDefault="00E21752" w:rsidP="00E21752">
            <w:pPr>
              <w:spacing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- Машини и оборудване                                            </w:t>
            </w:r>
          </w:p>
        </w:tc>
        <w:tc>
          <w:tcPr>
            <w:tcW w:w="2253" w:type="dxa"/>
          </w:tcPr>
          <w:p w14:paraId="47CDF58F" w14:textId="0E9A305E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3,5-10</w:t>
            </w:r>
          </w:p>
        </w:tc>
        <w:tc>
          <w:tcPr>
            <w:tcW w:w="3166" w:type="dxa"/>
          </w:tcPr>
          <w:p w14:paraId="43524CAF" w14:textId="4C3E2DA3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10-30</w:t>
            </w:r>
          </w:p>
        </w:tc>
      </w:tr>
      <w:tr w:rsidR="00E21752" w14:paraId="377BC0DC" w14:textId="77777777" w:rsidTr="00E21752">
        <w:tc>
          <w:tcPr>
            <w:tcW w:w="4077" w:type="dxa"/>
          </w:tcPr>
          <w:p w14:paraId="45DA7CBB" w14:textId="3ABCA699" w:rsidR="00E21752" w:rsidRPr="009A715E" w:rsidRDefault="00E21752" w:rsidP="00E21752">
            <w:pPr>
              <w:spacing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Нематериални дълготрайни активи                        </w:t>
            </w:r>
          </w:p>
        </w:tc>
        <w:tc>
          <w:tcPr>
            <w:tcW w:w="2253" w:type="dxa"/>
          </w:tcPr>
          <w:p w14:paraId="69EFF86F" w14:textId="0869957E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2-6,7</w:t>
            </w:r>
          </w:p>
        </w:tc>
        <w:tc>
          <w:tcPr>
            <w:tcW w:w="3166" w:type="dxa"/>
          </w:tcPr>
          <w:p w14:paraId="361AA6BF" w14:textId="5598BCFE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15-50</w:t>
            </w:r>
          </w:p>
        </w:tc>
      </w:tr>
      <w:tr w:rsidR="00E21752" w14:paraId="6E816B1C" w14:textId="77777777" w:rsidTr="00E21752">
        <w:tc>
          <w:tcPr>
            <w:tcW w:w="4077" w:type="dxa"/>
          </w:tcPr>
          <w:p w14:paraId="133551CF" w14:textId="1A33E4EB" w:rsidR="00E21752" w:rsidRDefault="00E21752" w:rsidP="00E21752">
            <w:pPr>
              <w:spacing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A715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Транспортни средства и стопански инвентар          </w:t>
            </w:r>
          </w:p>
        </w:tc>
        <w:tc>
          <w:tcPr>
            <w:tcW w:w="2253" w:type="dxa"/>
          </w:tcPr>
          <w:p w14:paraId="7F903076" w14:textId="5F973B48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3166" w:type="dxa"/>
          </w:tcPr>
          <w:p w14:paraId="59A01CE5" w14:textId="47CA1F49" w:rsidR="00E21752" w:rsidRDefault="00E21752" w:rsidP="00E217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</w:tbl>
    <w:p w14:paraId="59C8C681" w14:textId="77777777" w:rsidR="00E21752" w:rsidRDefault="00E21752" w:rsidP="00FF27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FC0969D" w14:textId="77777777" w:rsidR="00D13F28" w:rsidRPr="009A715E" w:rsidRDefault="00D13F28" w:rsidP="00DF6E1F">
      <w:pPr>
        <w:spacing w:line="24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Амортизациите започват да се начисляват от месеца, следващ месеца, в който е въведен актива.</w:t>
      </w:r>
    </w:p>
    <w:p w14:paraId="5A5EDE80" w14:textId="77777777" w:rsidR="00D13F28" w:rsidRPr="009A715E" w:rsidRDefault="00D13F28" w:rsidP="00DF6E1F">
      <w:pPr>
        <w:spacing w:line="24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Избраният праг на същественост за дълготрайните нематериални активи е в размер на 500 лева.</w:t>
      </w:r>
    </w:p>
    <w:p w14:paraId="048AA9B3" w14:textId="26256A8A" w:rsidR="00D13F28" w:rsidRPr="009A715E" w:rsidRDefault="00305FA5" w:rsidP="00DF6E1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През периода 20</w:t>
      </w:r>
      <w:r w:rsidR="000F7DE3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5</w:t>
      </w:r>
      <w:r w:rsidR="00D13F28" w:rsidRPr="009A715E">
        <w:rPr>
          <w:rFonts w:ascii="Times New Roman" w:hAnsi="Times New Roman" w:cs="Times New Roman"/>
          <w:sz w:val="26"/>
          <w:szCs w:val="26"/>
        </w:rPr>
        <w:t>г. -  20</w:t>
      </w:r>
      <w:r w:rsidR="00BF76CE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6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г. дружеството </w:t>
      </w:r>
      <w:r w:rsidR="004E28E6" w:rsidRPr="009A715E">
        <w:rPr>
          <w:rFonts w:ascii="Times New Roman" w:hAnsi="Times New Roman" w:cs="Times New Roman"/>
          <w:sz w:val="26"/>
          <w:szCs w:val="26"/>
        </w:rPr>
        <w:t>предвижда да направи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инвестиции за </w:t>
      </w:r>
      <w:r w:rsidR="000640FC" w:rsidRPr="009A715E">
        <w:rPr>
          <w:rFonts w:ascii="Times New Roman" w:hAnsi="Times New Roman" w:cs="Times New Roman"/>
          <w:sz w:val="26"/>
          <w:szCs w:val="26"/>
        </w:rPr>
        <w:t>17 </w:t>
      </w:r>
      <w:r w:rsidR="00495629">
        <w:rPr>
          <w:rFonts w:ascii="Times New Roman" w:hAnsi="Times New Roman" w:cs="Times New Roman"/>
          <w:sz w:val="26"/>
          <w:szCs w:val="26"/>
          <w:lang w:val="en-US"/>
        </w:rPr>
        <w:t>000</w:t>
      </w:r>
      <w:r w:rsidR="000640FC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4E28E6" w:rsidRPr="009A715E">
        <w:rPr>
          <w:rFonts w:ascii="Times New Roman" w:hAnsi="Times New Roman" w:cs="Times New Roman"/>
          <w:sz w:val="26"/>
          <w:szCs w:val="26"/>
        </w:rPr>
        <w:t>лв.</w:t>
      </w:r>
      <w:r w:rsidR="00F463F5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Прилагаме </w:t>
      </w:r>
      <w:r w:rsidR="00D13F28" w:rsidRPr="009A715E">
        <w:rPr>
          <w:rFonts w:ascii="Times New Roman" w:hAnsi="Times New Roman" w:cs="Times New Roman"/>
          <w:b/>
          <w:bCs/>
          <w:sz w:val="26"/>
          <w:szCs w:val="26"/>
        </w:rPr>
        <w:t>справка 1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инвестиционна програма на дружеството и </w:t>
      </w:r>
      <w:r w:rsidR="00D13F28" w:rsidRPr="009A715E">
        <w:rPr>
          <w:rFonts w:ascii="Times New Roman" w:hAnsi="Times New Roman" w:cs="Times New Roman"/>
          <w:b/>
          <w:bCs/>
          <w:sz w:val="26"/>
          <w:szCs w:val="26"/>
        </w:rPr>
        <w:t>справка 2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- отчет на извършените инвестиции през 20</w:t>
      </w:r>
      <w:r w:rsidR="000640FC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4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 г. </w:t>
      </w:r>
    </w:p>
    <w:p w14:paraId="2E0B656B" w14:textId="77777777" w:rsidR="0078298E" w:rsidRPr="009A715E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На база инвентарната книга на </w:t>
      </w:r>
      <w:r w:rsidR="000B37CF" w:rsidRPr="009A715E">
        <w:rPr>
          <w:rFonts w:ascii="Times New Roman" w:hAnsi="Times New Roman" w:cs="Times New Roman"/>
          <w:sz w:val="26"/>
          <w:szCs w:val="26"/>
        </w:rPr>
        <w:t>„</w:t>
      </w:r>
      <w:r w:rsidRPr="009A715E">
        <w:rPr>
          <w:rFonts w:ascii="Times New Roman" w:hAnsi="Times New Roman" w:cs="Times New Roman"/>
          <w:sz w:val="26"/>
          <w:szCs w:val="26"/>
        </w:rPr>
        <w:t>ТЕЦ Горна Оряховица</w:t>
      </w:r>
      <w:r w:rsidR="000B37CF" w:rsidRPr="009A715E">
        <w:rPr>
          <w:rFonts w:ascii="Times New Roman" w:hAnsi="Times New Roman" w:cs="Times New Roman"/>
          <w:sz w:val="26"/>
          <w:szCs w:val="26"/>
        </w:rPr>
        <w:t>“</w:t>
      </w:r>
      <w:r w:rsidRPr="009A715E">
        <w:rPr>
          <w:rFonts w:ascii="Times New Roman" w:hAnsi="Times New Roman" w:cs="Times New Roman"/>
          <w:sz w:val="26"/>
          <w:szCs w:val="26"/>
        </w:rPr>
        <w:t xml:space="preserve"> ЕАД е направено разделянето на ДМА</w:t>
      </w:r>
      <w:r w:rsidR="000B37CF" w:rsidRPr="009A715E">
        <w:rPr>
          <w:rFonts w:ascii="Times New Roman" w:hAnsi="Times New Roman" w:cs="Times New Roman"/>
          <w:sz w:val="26"/>
          <w:szCs w:val="26"/>
        </w:rPr>
        <w:t>,</w:t>
      </w:r>
      <w:r w:rsidRPr="009A715E">
        <w:rPr>
          <w:rFonts w:ascii="Times New Roman" w:hAnsi="Times New Roman" w:cs="Times New Roman"/>
          <w:sz w:val="26"/>
          <w:szCs w:val="26"/>
        </w:rPr>
        <w:t xml:space="preserve"> участващи при производството на топло и електро енергия. ДМА участващи при комбинираното производство на топло и ел. енергия се приемат като „общи” за производството, например без </w:t>
      </w: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парогенераторите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 xml:space="preserve"> и съоръжения към тях не може да се произвежда електрическа енергия, офис оборудване и др. също влизат като общи за комбинираното производство. ДМА участващи само за производство на електрическа енергия са генераторите и прилежащите към тях съоръжения, а ДМА участващи за производството само на топлоенергия са РОУ и БРОУ, </w:t>
      </w: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Бойлерна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 xml:space="preserve"> станция.  При „ТЕЦ Горна Оряховица” ЕАД няма инсталации за разделно производство на  топлоенергия и инсталации за пренос.</w:t>
      </w:r>
    </w:p>
    <w:p w14:paraId="569CD94B" w14:textId="15749084" w:rsidR="00D13F28" w:rsidRPr="009A715E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 Консуматорите на топлоенергия са свързани с паропроводи на колектор 6Ата</w:t>
      </w:r>
      <w:r w:rsidR="000B37CF" w:rsidRPr="009A715E">
        <w:rPr>
          <w:rFonts w:ascii="Times New Roman" w:hAnsi="Times New Roman" w:cs="Times New Roman"/>
          <w:sz w:val="26"/>
          <w:szCs w:val="26"/>
        </w:rPr>
        <w:t>,</w:t>
      </w:r>
      <w:r w:rsidRPr="009A715E">
        <w:rPr>
          <w:rFonts w:ascii="Times New Roman" w:hAnsi="Times New Roman" w:cs="Times New Roman"/>
          <w:sz w:val="26"/>
          <w:szCs w:val="26"/>
        </w:rPr>
        <w:t xml:space="preserve"> захранващ се с отработена пара след турбината.</w:t>
      </w:r>
      <w:r w:rsidR="00F463F5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 xml:space="preserve">Прилагаме </w:t>
      </w:r>
      <w:r w:rsidRPr="009A715E">
        <w:rPr>
          <w:rFonts w:ascii="Times New Roman" w:hAnsi="Times New Roman" w:cs="Times New Roman"/>
          <w:b/>
          <w:bCs/>
          <w:sz w:val="26"/>
          <w:szCs w:val="26"/>
        </w:rPr>
        <w:t>справка 3,</w:t>
      </w:r>
      <w:r w:rsidRPr="009A715E">
        <w:rPr>
          <w:rFonts w:ascii="Times New Roman" w:hAnsi="Times New Roman" w:cs="Times New Roman"/>
          <w:sz w:val="26"/>
          <w:szCs w:val="26"/>
        </w:rPr>
        <w:t xml:space="preserve">  където ДМА са разделени съответно за производство на топло </w:t>
      </w:r>
      <w:r w:rsidRPr="009A715E">
        <w:rPr>
          <w:rFonts w:ascii="Times New Roman" w:hAnsi="Times New Roman" w:cs="Times New Roman"/>
          <w:sz w:val="26"/>
          <w:szCs w:val="26"/>
        </w:rPr>
        <w:tab/>
        <w:t>и електроенергия и общо за дв</w:t>
      </w:r>
      <w:r w:rsidR="00F463F5" w:rsidRPr="009A715E">
        <w:rPr>
          <w:rFonts w:ascii="Times New Roman" w:hAnsi="Times New Roman" w:cs="Times New Roman"/>
          <w:sz w:val="26"/>
          <w:szCs w:val="26"/>
        </w:rPr>
        <w:t xml:space="preserve">ата продукта </w:t>
      </w:r>
      <w:r w:rsidR="004A43CD" w:rsidRPr="009A715E">
        <w:rPr>
          <w:rFonts w:ascii="Times New Roman" w:hAnsi="Times New Roman" w:cs="Times New Roman"/>
          <w:sz w:val="26"/>
          <w:szCs w:val="26"/>
        </w:rPr>
        <w:t>за периода 20</w:t>
      </w:r>
      <w:r w:rsidR="00066794">
        <w:rPr>
          <w:rFonts w:ascii="Times New Roman" w:hAnsi="Times New Roman" w:cs="Times New Roman"/>
          <w:sz w:val="26"/>
          <w:szCs w:val="26"/>
        </w:rPr>
        <w:t>24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</w:t>
      </w:r>
    </w:p>
    <w:p w14:paraId="5A4904F6" w14:textId="77777777" w:rsidR="00D13F28" w:rsidRPr="009A715E" w:rsidRDefault="00FF2713" w:rsidP="00FF2713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Р</w:t>
      </w:r>
      <w:r w:rsidR="000B37CF" w:rsidRPr="009A715E">
        <w:rPr>
          <w:rFonts w:ascii="Times New Roman" w:hAnsi="Times New Roman" w:cs="Times New Roman"/>
          <w:b/>
          <w:sz w:val="26"/>
          <w:szCs w:val="26"/>
        </w:rPr>
        <w:t>азходи за ремонт</w:t>
      </w:r>
    </w:p>
    <w:p w14:paraId="3E502EBA" w14:textId="1D9CB163" w:rsidR="00D13F28" w:rsidRPr="009A715E" w:rsidRDefault="00D13F28" w:rsidP="00DF6E1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В ремонтната програма на ТЕЦ са </w:t>
      </w: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залегнати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 xml:space="preserve"> мероприятия, които са неотложни</w:t>
      </w:r>
      <w:r w:rsidR="000B37CF" w:rsidRPr="009A715E">
        <w:rPr>
          <w:rFonts w:ascii="Times New Roman" w:hAnsi="Times New Roman" w:cs="Times New Roman"/>
          <w:sz w:val="26"/>
          <w:szCs w:val="26"/>
        </w:rPr>
        <w:t>,</w:t>
      </w:r>
      <w:r w:rsidRPr="009A715E">
        <w:rPr>
          <w:rFonts w:ascii="Times New Roman" w:hAnsi="Times New Roman" w:cs="Times New Roman"/>
          <w:sz w:val="26"/>
          <w:szCs w:val="26"/>
        </w:rPr>
        <w:t xml:space="preserve"> с цел обезпечаване на безаварийната и надеждна работа на съоръженията. Планувани са ремонти </w:t>
      </w:r>
      <w:r w:rsidR="00C26949" w:rsidRPr="009A715E">
        <w:rPr>
          <w:rFonts w:ascii="Times New Roman" w:hAnsi="Times New Roman" w:cs="Times New Roman"/>
          <w:sz w:val="26"/>
          <w:szCs w:val="26"/>
        </w:rPr>
        <w:t xml:space="preserve">на </w:t>
      </w:r>
      <w:r w:rsidR="00C57167" w:rsidRPr="009A715E">
        <w:rPr>
          <w:rFonts w:ascii="Times New Roman" w:hAnsi="Times New Roman" w:cs="Times New Roman"/>
          <w:sz w:val="26"/>
          <w:szCs w:val="26"/>
        </w:rPr>
        <w:t>съоръжения</w:t>
      </w:r>
      <w:r w:rsidR="00066794">
        <w:rPr>
          <w:rFonts w:ascii="Times New Roman" w:hAnsi="Times New Roman" w:cs="Times New Roman"/>
          <w:sz w:val="26"/>
          <w:szCs w:val="26"/>
        </w:rPr>
        <w:t xml:space="preserve"> в химичен цех и електро цех</w:t>
      </w:r>
      <w:r w:rsidRPr="009A715E">
        <w:rPr>
          <w:rFonts w:ascii="Times New Roman" w:hAnsi="Times New Roman" w:cs="Times New Roman"/>
          <w:sz w:val="26"/>
          <w:szCs w:val="26"/>
        </w:rPr>
        <w:t xml:space="preserve">. Прилагаме </w:t>
      </w:r>
      <w:r w:rsidRPr="009A715E">
        <w:rPr>
          <w:rFonts w:ascii="Times New Roman" w:hAnsi="Times New Roman" w:cs="Times New Roman"/>
          <w:b/>
          <w:bCs/>
          <w:sz w:val="26"/>
          <w:szCs w:val="26"/>
        </w:rPr>
        <w:t>справка 4</w:t>
      </w:r>
      <w:r w:rsidRPr="009A715E">
        <w:rPr>
          <w:rFonts w:ascii="Times New Roman" w:hAnsi="Times New Roman" w:cs="Times New Roman"/>
          <w:sz w:val="26"/>
          <w:szCs w:val="26"/>
        </w:rPr>
        <w:t xml:space="preserve"> – ремонтна програма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67570A" w:rsidRPr="009A715E">
        <w:rPr>
          <w:rFonts w:ascii="Times New Roman" w:hAnsi="Times New Roman" w:cs="Times New Roman"/>
          <w:sz w:val="26"/>
          <w:szCs w:val="26"/>
        </w:rPr>
        <w:t>период 20</w:t>
      </w:r>
      <w:r w:rsidR="0067570A" w:rsidRPr="009A715E"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5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 г. -  20</w:t>
      </w:r>
      <w:r w:rsidR="00BF76CE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6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 г</w:t>
      </w:r>
      <w:r w:rsidRPr="009A715E">
        <w:rPr>
          <w:rFonts w:ascii="Times New Roman" w:hAnsi="Times New Roman" w:cs="Times New Roman"/>
          <w:sz w:val="26"/>
          <w:szCs w:val="26"/>
        </w:rPr>
        <w:t>. Ремонтните дейности са прогнозира</w:t>
      </w:r>
      <w:r w:rsidR="00CB34A7" w:rsidRPr="009A715E">
        <w:rPr>
          <w:rFonts w:ascii="Times New Roman" w:hAnsi="Times New Roman" w:cs="Times New Roman"/>
          <w:sz w:val="26"/>
          <w:szCs w:val="26"/>
        </w:rPr>
        <w:t xml:space="preserve">ни с оглед </w:t>
      </w:r>
      <w:r w:rsidRPr="009A715E">
        <w:rPr>
          <w:rFonts w:ascii="Times New Roman" w:hAnsi="Times New Roman" w:cs="Times New Roman"/>
          <w:sz w:val="26"/>
          <w:szCs w:val="26"/>
        </w:rPr>
        <w:t xml:space="preserve">поддръжката на </w:t>
      </w:r>
      <w:r w:rsidR="00953A79" w:rsidRPr="009A715E">
        <w:rPr>
          <w:rFonts w:ascii="Times New Roman" w:hAnsi="Times New Roman" w:cs="Times New Roman"/>
          <w:sz w:val="26"/>
          <w:szCs w:val="26"/>
        </w:rPr>
        <w:t xml:space="preserve">съоръженията и </w:t>
      </w:r>
      <w:r w:rsidRPr="009A715E">
        <w:rPr>
          <w:rFonts w:ascii="Times New Roman" w:hAnsi="Times New Roman" w:cs="Times New Roman"/>
          <w:sz w:val="26"/>
          <w:szCs w:val="26"/>
        </w:rPr>
        <w:t>тяхната експлоатационна годност и осигуряване на безопасна работа на персонала. Предвидени са</w:t>
      </w:r>
      <w:r w:rsidR="00CA7EF1" w:rsidRPr="009A715E">
        <w:rPr>
          <w:rFonts w:ascii="Times New Roman" w:hAnsi="Times New Roman" w:cs="Times New Roman"/>
          <w:sz w:val="26"/>
          <w:szCs w:val="26"/>
        </w:rPr>
        <w:t xml:space="preserve"> и някои строителни </w:t>
      </w:r>
      <w:r w:rsidRPr="009A715E">
        <w:rPr>
          <w:rFonts w:ascii="Times New Roman" w:hAnsi="Times New Roman" w:cs="Times New Roman"/>
          <w:sz w:val="26"/>
          <w:szCs w:val="26"/>
        </w:rPr>
        <w:t xml:space="preserve">ремонти </w:t>
      </w:r>
      <w:r w:rsidR="00CA7EF1" w:rsidRPr="009A715E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="00CA7EF1" w:rsidRPr="009A715E">
        <w:rPr>
          <w:rFonts w:ascii="Times New Roman" w:hAnsi="Times New Roman" w:cs="Times New Roman"/>
          <w:sz w:val="26"/>
          <w:szCs w:val="26"/>
        </w:rPr>
        <w:t>сградния</w:t>
      </w:r>
      <w:proofErr w:type="spellEnd"/>
      <w:r w:rsidR="00CA7EF1" w:rsidRPr="009A715E">
        <w:rPr>
          <w:rFonts w:ascii="Times New Roman" w:hAnsi="Times New Roman" w:cs="Times New Roman"/>
          <w:sz w:val="26"/>
          <w:szCs w:val="26"/>
        </w:rPr>
        <w:t xml:space="preserve"> фонд </w:t>
      </w:r>
      <w:r w:rsidRPr="009A715E">
        <w:rPr>
          <w:rFonts w:ascii="Times New Roman" w:hAnsi="Times New Roman" w:cs="Times New Roman"/>
          <w:sz w:val="26"/>
          <w:szCs w:val="26"/>
        </w:rPr>
        <w:t>н</w:t>
      </w:r>
      <w:r w:rsidR="00CA7EF1" w:rsidRPr="009A715E">
        <w:rPr>
          <w:rFonts w:ascii="Times New Roman" w:hAnsi="Times New Roman" w:cs="Times New Roman"/>
          <w:sz w:val="26"/>
          <w:szCs w:val="26"/>
        </w:rPr>
        <w:t>а</w:t>
      </w:r>
      <w:r w:rsidR="00953A79" w:rsidRPr="009A715E">
        <w:rPr>
          <w:rFonts w:ascii="Times New Roman" w:hAnsi="Times New Roman" w:cs="Times New Roman"/>
          <w:sz w:val="26"/>
          <w:szCs w:val="26"/>
        </w:rPr>
        <w:t xml:space="preserve"> централата и дейности свързани с</w:t>
      </w:r>
      <w:r w:rsidR="00CA7EF1" w:rsidRPr="009A715E">
        <w:rPr>
          <w:rFonts w:ascii="Times New Roman" w:hAnsi="Times New Roman" w:cs="Times New Roman"/>
          <w:sz w:val="26"/>
          <w:szCs w:val="26"/>
        </w:rPr>
        <w:t xml:space="preserve"> подобряване условията на труд и запазване на сградите.</w:t>
      </w:r>
      <w:r w:rsidRPr="009A715E">
        <w:rPr>
          <w:rFonts w:ascii="Times New Roman" w:hAnsi="Times New Roman" w:cs="Times New Roman"/>
          <w:sz w:val="26"/>
          <w:szCs w:val="26"/>
        </w:rPr>
        <w:t xml:space="preserve"> В </w:t>
      </w:r>
      <w:r w:rsidRPr="009A715E">
        <w:rPr>
          <w:rFonts w:ascii="Times New Roman" w:hAnsi="Times New Roman" w:cs="Times New Roman"/>
          <w:b/>
          <w:bCs/>
          <w:sz w:val="26"/>
          <w:szCs w:val="26"/>
        </w:rPr>
        <w:t>справка 5</w:t>
      </w:r>
      <w:r w:rsidRPr="009A715E">
        <w:rPr>
          <w:rFonts w:ascii="Times New Roman" w:hAnsi="Times New Roman" w:cs="Times New Roman"/>
          <w:sz w:val="26"/>
          <w:szCs w:val="26"/>
        </w:rPr>
        <w:t xml:space="preserve"> прилагаме отчета за извършен</w:t>
      </w:r>
      <w:r w:rsidR="00C57167" w:rsidRPr="009A715E">
        <w:rPr>
          <w:rFonts w:ascii="Times New Roman" w:hAnsi="Times New Roman" w:cs="Times New Roman"/>
          <w:sz w:val="26"/>
          <w:szCs w:val="26"/>
        </w:rPr>
        <w:t>ите ремонтни мероприятия за 20</w:t>
      </w:r>
      <w:r w:rsidR="00713E83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</w:t>
      </w:r>
    </w:p>
    <w:p w14:paraId="251D7BD9" w14:textId="77777777" w:rsidR="00854874" w:rsidRPr="009A715E" w:rsidRDefault="00854874" w:rsidP="0085487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lastRenderedPageBreak/>
        <w:t>Разх</w:t>
      </w:r>
      <w:r w:rsidR="000B37CF" w:rsidRPr="009A715E">
        <w:rPr>
          <w:rFonts w:ascii="Times New Roman" w:hAnsi="Times New Roman" w:cs="Times New Roman"/>
          <w:b/>
          <w:sz w:val="26"/>
          <w:szCs w:val="26"/>
        </w:rPr>
        <w:t>оди за заплати и възнаграждения</w:t>
      </w:r>
      <w:r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1D4DDCC" w14:textId="2B9AA95D" w:rsidR="00676005" w:rsidRPr="009A715E" w:rsidRDefault="000B37CF" w:rsidP="00676005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За новия ценови период</w:t>
      </w:r>
      <w:r w:rsidR="00854874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4058A1" w:rsidRPr="009A715E">
        <w:rPr>
          <w:rFonts w:ascii="Times New Roman" w:hAnsi="Times New Roman" w:cs="Times New Roman"/>
          <w:sz w:val="26"/>
          <w:szCs w:val="26"/>
        </w:rPr>
        <w:t>разходите за заплати</w:t>
      </w:r>
      <w:r w:rsidR="00152F15" w:rsidRPr="009A715E">
        <w:rPr>
          <w:rFonts w:ascii="Times New Roman" w:hAnsi="Times New Roman" w:cs="Times New Roman"/>
          <w:sz w:val="26"/>
          <w:szCs w:val="26"/>
        </w:rPr>
        <w:t xml:space="preserve"> и възнаграждения 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са </w:t>
      </w:r>
      <w:r w:rsidR="009970AD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="00213E92">
        <w:rPr>
          <w:rFonts w:ascii="Times New Roman" w:hAnsi="Times New Roman" w:cs="Times New Roman"/>
          <w:sz w:val="26"/>
          <w:szCs w:val="26"/>
        </w:rPr>
        <w:t>1259</w:t>
      </w:r>
      <w:r w:rsidR="009970AD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хил.лв., а за </w:t>
      </w:r>
      <w:r w:rsidR="00152F15" w:rsidRPr="009A715E">
        <w:rPr>
          <w:rFonts w:ascii="Times New Roman" w:hAnsi="Times New Roman" w:cs="Times New Roman"/>
          <w:sz w:val="26"/>
          <w:szCs w:val="26"/>
        </w:rPr>
        <w:t>отчетната 20</w:t>
      </w:r>
      <w:r w:rsidR="000640FC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4</w:t>
      </w:r>
      <w:r w:rsidR="00152F15" w:rsidRPr="009A715E">
        <w:rPr>
          <w:rFonts w:ascii="Times New Roman" w:hAnsi="Times New Roman" w:cs="Times New Roman"/>
          <w:sz w:val="26"/>
          <w:szCs w:val="26"/>
        </w:rPr>
        <w:t xml:space="preserve"> г.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 са </w:t>
      </w:r>
      <w:r w:rsidR="00213E92">
        <w:rPr>
          <w:rFonts w:ascii="Times New Roman" w:hAnsi="Times New Roman" w:cs="Times New Roman"/>
          <w:sz w:val="26"/>
          <w:szCs w:val="26"/>
        </w:rPr>
        <w:t>1566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 хил.</w:t>
      </w:r>
      <w:proofErr w:type="spellStart"/>
      <w:r w:rsidR="004058A1" w:rsidRPr="009A715E">
        <w:rPr>
          <w:rFonts w:ascii="Times New Roman" w:hAnsi="Times New Roman" w:cs="Times New Roman"/>
          <w:sz w:val="26"/>
          <w:szCs w:val="26"/>
        </w:rPr>
        <w:t>лв</w:t>
      </w:r>
      <w:proofErr w:type="spellEnd"/>
      <w:r w:rsidR="009970AD" w:rsidRPr="009A715E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9970AD" w:rsidRPr="009A715E">
        <w:rPr>
          <w:rFonts w:ascii="Times New Roman" w:hAnsi="Times New Roman" w:cs="Times New Roman"/>
          <w:sz w:val="26"/>
          <w:szCs w:val="26"/>
        </w:rPr>
        <w:t xml:space="preserve"> През </w:t>
      </w:r>
      <w:r w:rsidR="00676005" w:rsidRPr="009A715E">
        <w:rPr>
          <w:rFonts w:ascii="Times New Roman" w:hAnsi="Times New Roman"/>
          <w:sz w:val="26"/>
          <w:szCs w:val="26"/>
        </w:rPr>
        <w:t>202</w:t>
      </w:r>
      <w:r w:rsidR="00213E92">
        <w:rPr>
          <w:rFonts w:ascii="Times New Roman" w:hAnsi="Times New Roman"/>
          <w:sz w:val="26"/>
          <w:szCs w:val="26"/>
        </w:rPr>
        <w:t>4</w:t>
      </w:r>
      <w:r w:rsidR="00676005" w:rsidRPr="009A715E">
        <w:rPr>
          <w:rFonts w:ascii="Times New Roman" w:hAnsi="Times New Roman"/>
          <w:sz w:val="26"/>
          <w:szCs w:val="26"/>
        </w:rPr>
        <w:t xml:space="preserve"> г. дружеството работи с </w:t>
      </w:r>
      <w:r w:rsidR="00213E92">
        <w:rPr>
          <w:rFonts w:ascii="Times New Roman" w:hAnsi="Times New Roman"/>
          <w:sz w:val="26"/>
          <w:szCs w:val="26"/>
        </w:rPr>
        <w:t xml:space="preserve">60 </w:t>
      </w:r>
      <w:r w:rsidR="00676005" w:rsidRPr="009A715E">
        <w:rPr>
          <w:rFonts w:ascii="Times New Roman" w:hAnsi="Times New Roman"/>
          <w:sz w:val="26"/>
          <w:szCs w:val="26"/>
        </w:rPr>
        <w:t>бр. средно списъчен състав.</w:t>
      </w:r>
    </w:p>
    <w:p w14:paraId="77250B58" w14:textId="643E88E7" w:rsidR="004A4E16" w:rsidRPr="009A715E" w:rsidRDefault="001006CE" w:rsidP="00100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 За ценовия период 20</w:t>
      </w:r>
      <w:r w:rsidR="000640FC" w:rsidRPr="009A715E">
        <w:rPr>
          <w:rFonts w:ascii="Times New Roman" w:hAnsi="Times New Roman" w:cs="Times New Roman"/>
          <w:sz w:val="26"/>
          <w:szCs w:val="26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5</w:t>
      </w:r>
      <w:r w:rsidRPr="009A715E">
        <w:rPr>
          <w:rFonts w:ascii="Times New Roman" w:hAnsi="Times New Roman" w:cs="Times New Roman"/>
          <w:sz w:val="26"/>
          <w:szCs w:val="26"/>
        </w:rPr>
        <w:t>-20</w:t>
      </w:r>
      <w:r w:rsidR="000F7DE3" w:rsidRPr="009A715E">
        <w:rPr>
          <w:rFonts w:ascii="Times New Roman" w:hAnsi="Times New Roman" w:cs="Times New Roman"/>
          <w:sz w:val="26"/>
          <w:szCs w:val="26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 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разхода е съобразен с числеността на персонала и работната програма на дружеството. Числеността на персонала </w:t>
      </w:r>
      <w:r w:rsidR="00992F62" w:rsidRPr="009A715E">
        <w:rPr>
          <w:rFonts w:ascii="Times New Roman" w:hAnsi="Times New Roman" w:cs="Times New Roman"/>
          <w:sz w:val="26"/>
          <w:szCs w:val="26"/>
        </w:rPr>
        <w:t xml:space="preserve">по време на работа </w:t>
      </w:r>
      <w:r w:rsidR="00E6428E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е оптимизиран до </w:t>
      </w:r>
      <w:r w:rsidR="00213E92">
        <w:rPr>
          <w:rFonts w:ascii="Times New Roman" w:hAnsi="Times New Roman" w:cs="Times New Roman"/>
          <w:sz w:val="26"/>
          <w:szCs w:val="26"/>
        </w:rPr>
        <w:t>49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58A1" w:rsidRPr="009A715E">
        <w:rPr>
          <w:rFonts w:ascii="Times New Roman" w:hAnsi="Times New Roman" w:cs="Times New Roman"/>
          <w:sz w:val="26"/>
          <w:szCs w:val="26"/>
        </w:rPr>
        <w:t>бр</w:t>
      </w:r>
      <w:proofErr w:type="spellEnd"/>
      <w:r w:rsidR="00E6428E" w:rsidRPr="009A715E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58A1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E6428E" w:rsidRPr="009A715E">
        <w:rPr>
          <w:rFonts w:ascii="Times New Roman" w:hAnsi="Times New Roman" w:cs="Times New Roman"/>
          <w:sz w:val="26"/>
          <w:szCs w:val="26"/>
        </w:rPr>
        <w:t>П</w:t>
      </w:r>
      <w:r w:rsidRPr="009A715E">
        <w:rPr>
          <w:rFonts w:ascii="Times New Roman" w:hAnsi="Times New Roman" w:cs="Times New Roman"/>
          <w:sz w:val="26"/>
          <w:szCs w:val="26"/>
        </w:rPr>
        <w:t xml:space="preserve">оради повишаването  на минималната </w:t>
      </w:r>
      <w:r w:rsidRPr="009A715E">
        <w:rPr>
          <w:rFonts w:ascii="Times New Roman" w:hAnsi="Times New Roman" w:cs="Times New Roman"/>
          <w:sz w:val="26"/>
          <w:szCs w:val="26"/>
        </w:rPr>
        <w:tab/>
        <w:t>работна заплата</w:t>
      </w:r>
      <w:r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 xml:space="preserve">и изравняването й с някои основни работни заплати  се </w:t>
      </w:r>
      <w:r w:rsidR="004A4E16" w:rsidRPr="009A715E">
        <w:rPr>
          <w:rFonts w:ascii="Times New Roman" w:hAnsi="Times New Roman" w:cs="Times New Roman"/>
          <w:sz w:val="26"/>
          <w:szCs w:val="26"/>
        </w:rPr>
        <w:t>налага</w:t>
      </w:r>
      <w:r w:rsidRPr="009A715E">
        <w:rPr>
          <w:rFonts w:ascii="Times New Roman" w:hAnsi="Times New Roman" w:cs="Times New Roman"/>
          <w:sz w:val="26"/>
          <w:szCs w:val="26"/>
        </w:rPr>
        <w:t xml:space="preserve"> промяна на с</w:t>
      </w:r>
      <w:r w:rsidR="004A4E16" w:rsidRPr="009A715E">
        <w:rPr>
          <w:rFonts w:ascii="Times New Roman" w:hAnsi="Times New Roman" w:cs="Times New Roman"/>
          <w:sz w:val="26"/>
          <w:szCs w:val="26"/>
        </w:rPr>
        <w:t>ъщите и актуализация на другите, за да се намали текучеството на персонала и попълването на незаети позиции в структурата на дружеството.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1D17262" w14:textId="3DDD95D9" w:rsidR="00854874" w:rsidRPr="009A715E" w:rsidRDefault="001006CE" w:rsidP="008548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Предвидени са и средства за изплащане на обезщетения при пенсиониране, поради навършване </w:t>
      </w:r>
      <w:r w:rsidRPr="009A715E">
        <w:rPr>
          <w:rFonts w:ascii="Times New Roman" w:hAnsi="Times New Roman" w:cs="Times New Roman"/>
          <w:sz w:val="26"/>
          <w:szCs w:val="26"/>
        </w:rPr>
        <w:tab/>
        <w:t>на пенсионна възраст на някой работници. Също така повишаването на заплатите е свързано и с поставена цел от ръководството, за доближаване към средната работна  заплата в сектор „</w:t>
      </w:r>
      <w:r w:rsidR="009970AD" w:rsidRPr="009A715E">
        <w:rPr>
          <w:rFonts w:ascii="Times New Roman" w:hAnsi="Times New Roman" w:cs="Times New Roman"/>
          <w:sz w:val="26"/>
          <w:szCs w:val="26"/>
        </w:rPr>
        <w:t>Топлоенергетика</w:t>
      </w:r>
      <w:r w:rsidRPr="009A715E">
        <w:rPr>
          <w:rFonts w:ascii="Times New Roman" w:hAnsi="Times New Roman" w:cs="Times New Roman"/>
          <w:sz w:val="26"/>
          <w:szCs w:val="26"/>
        </w:rPr>
        <w:t>“ и  за поддържане нормален стандарт на живот за региона на работещите в дружеството.</w:t>
      </w:r>
    </w:p>
    <w:p w14:paraId="0B1E098C" w14:textId="77777777" w:rsidR="00854874" w:rsidRPr="009A715E" w:rsidRDefault="00854874" w:rsidP="008548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Разходите за осигуровки са на база действащите осигурителни прагове и са преценени спрямо разходите  за работна заплата.</w:t>
      </w:r>
    </w:p>
    <w:p w14:paraId="39CE89D7" w14:textId="77777777" w:rsidR="0078298E" w:rsidRPr="009A715E" w:rsidRDefault="0078298E" w:rsidP="000E5C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168BE316" w14:textId="77777777" w:rsidR="000E5C1F" w:rsidRPr="009A715E" w:rsidRDefault="00FF2713" w:rsidP="000E5C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Р</w:t>
      </w:r>
      <w:r w:rsidR="00D13F28" w:rsidRPr="009A715E">
        <w:rPr>
          <w:rFonts w:ascii="Times New Roman" w:hAnsi="Times New Roman" w:cs="Times New Roman"/>
          <w:b/>
          <w:sz w:val="26"/>
          <w:szCs w:val="26"/>
        </w:rPr>
        <w:t>азходи пряко свързани с</w:t>
      </w:r>
      <w:r w:rsidR="000B37CF" w:rsidRPr="009A715E">
        <w:rPr>
          <w:rFonts w:ascii="Times New Roman" w:hAnsi="Times New Roman" w:cs="Times New Roman"/>
          <w:b/>
          <w:sz w:val="26"/>
          <w:szCs w:val="26"/>
        </w:rPr>
        <w:t xml:space="preserve">  регулираните дейности по  ЗЕ </w:t>
      </w:r>
    </w:p>
    <w:p w14:paraId="02F691AA" w14:textId="5B3D9699" w:rsidR="0065156A" w:rsidRPr="009A715E" w:rsidRDefault="00D13F28" w:rsidP="00FF271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Разходите за </w:t>
      </w:r>
      <w:r w:rsidR="0067570A" w:rsidRPr="009A715E">
        <w:rPr>
          <w:rFonts w:ascii="Times New Roman" w:hAnsi="Times New Roman" w:cs="Times New Roman"/>
          <w:sz w:val="26"/>
          <w:szCs w:val="26"/>
        </w:rPr>
        <w:t>20</w:t>
      </w:r>
      <w:r w:rsidR="0067570A" w:rsidRPr="009A715E"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5</w:t>
      </w:r>
      <w:r w:rsidR="001006CE" w:rsidRPr="009A715E">
        <w:rPr>
          <w:rFonts w:ascii="Times New Roman" w:hAnsi="Times New Roman" w:cs="Times New Roman"/>
          <w:sz w:val="26"/>
          <w:szCs w:val="26"/>
        </w:rPr>
        <w:t>г. – 202</w:t>
      </w:r>
      <w:r w:rsidR="00213E92">
        <w:rPr>
          <w:rFonts w:ascii="Times New Roman" w:hAnsi="Times New Roman" w:cs="Times New Roman"/>
          <w:sz w:val="26"/>
          <w:szCs w:val="26"/>
        </w:rPr>
        <w:t>6</w:t>
      </w:r>
      <w:r w:rsidR="001006CE" w:rsidRPr="009A715E">
        <w:rPr>
          <w:rFonts w:ascii="Times New Roman" w:hAnsi="Times New Roman" w:cs="Times New Roman"/>
          <w:sz w:val="26"/>
          <w:szCs w:val="26"/>
        </w:rPr>
        <w:t xml:space="preserve"> г.</w:t>
      </w:r>
      <w:r w:rsidRPr="009A715E">
        <w:rPr>
          <w:rFonts w:ascii="Times New Roman" w:hAnsi="Times New Roman" w:cs="Times New Roman"/>
          <w:sz w:val="26"/>
          <w:szCs w:val="26"/>
        </w:rPr>
        <w:t xml:space="preserve"> включени в тази част </w:t>
      </w:r>
      <w:r w:rsidR="000B37CF" w:rsidRPr="009A715E">
        <w:rPr>
          <w:rFonts w:ascii="Times New Roman" w:hAnsi="Times New Roman" w:cs="Times New Roman"/>
          <w:sz w:val="26"/>
          <w:szCs w:val="26"/>
        </w:rPr>
        <w:t>с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а </w:t>
      </w:r>
      <w:r w:rsidR="00213E92">
        <w:rPr>
          <w:rFonts w:ascii="Times New Roman" w:hAnsi="Times New Roman" w:cs="Times New Roman"/>
          <w:sz w:val="26"/>
          <w:szCs w:val="26"/>
        </w:rPr>
        <w:t>намалени</w:t>
      </w:r>
      <w:r w:rsidR="004516ED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CD23BE" w:rsidRPr="009A715E">
        <w:rPr>
          <w:rFonts w:ascii="Times New Roman" w:hAnsi="Times New Roman" w:cs="Times New Roman"/>
          <w:sz w:val="26"/>
          <w:szCs w:val="26"/>
        </w:rPr>
        <w:t>спрямо</w:t>
      </w:r>
      <w:r w:rsidR="000B37CF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>20</w:t>
      </w:r>
      <w:r w:rsidR="00A40B38" w:rsidRPr="009A715E">
        <w:rPr>
          <w:rFonts w:ascii="Times New Roman" w:hAnsi="Times New Roman" w:cs="Times New Roman"/>
          <w:sz w:val="26"/>
          <w:szCs w:val="26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4</w:t>
      </w:r>
      <w:r w:rsidRPr="009A715E">
        <w:rPr>
          <w:rFonts w:ascii="Times New Roman" w:hAnsi="Times New Roman" w:cs="Times New Roman"/>
          <w:sz w:val="26"/>
          <w:szCs w:val="26"/>
        </w:rPr>
        <w:t xml:space="preserve">г. Определени са на база </w:t>
      </w:r>
      <w:r w:rsidR="00953A79" w:rsidRPr="009A715E">
        <w:rPr>
          <w:rFonts w:ascii="Times New Roman" w:hAnsi="Times New Roman" w:cs="Times New Roman"/>
          <w:sz w:val="26"/>
          <w:szCs w:val="26"/>
        </w:rPr>
        <w:t xml:space="preserve">прецизна </w:t>
      </w:r>
      <w:r w:rsidR="00CB34A7" w:rsidRPr="009A715E">
        <w:rPr>
          <w:rFonts w:ascii="Times New Roman" w:hAnsi="Times New Roman" w:cs="Times New Roman"/>
          <w:sz w:val="26"/>
          <w:szCs w:val="26"/>
        </w:rPr>
        <w:t>оценка и анализ на отчет за 20</w:t>
      </w:r>
      <w:r w:rsidR="00A40B38" w:rsidRPr="009A715E">
        <w:rPr>
          <w:rFonts w:ascii="Times New Roman" w:hAnsi="Times New Roman" w:cs="Times New Roman"/>
          <w:sz w:val="26"/>
          <w:szCs w:val="26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</w:t>
      </w:r>
      <w:r w:rsidR="001006CE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213E92">
        <w:rPr>
          <w:rFonts w:ascii="Times New Roman" w:hAnsi="Times New Roman" w:cs="Times New Roman"/>
          <w:sz w:val="26"/>
          <w:szCs w:val="26"/>
        </w:rPr>
        <w:t xml:space="preserve">Намалени </w:t>
      </w:r>
      <w:r w:rsidR="00A40B38" w:rsidRPr="009A715E">
        <w:rPr>
          <w:rFonts w:ascii="Times New Roman" w:hAnsi="Times New Roman" w:cs="Times New Roman"/>
          <w:sz w:val="26"/>
          <w:szCs w:val="26"/>
        </w:rPr>
        <w:t xml:space="preserve"> са </w:t>
      </w:r>
      <w:r w:rsidR="004932EE" w:rsidRPr="009A715E">
        <w:rPr>
          <w:rFonts w:ascii="Times New Roman" w:hAnsi="Times New Roman" w:cs="Times New Roman"/>
          <w:sz w:val="26"/>
          <w:szCs w:val="26"/>
        </w:rPr>
        <w:t>горива за автотранспорт,</w:t>
      </w:r>
      <w:r w:rsidR="00B55949" w:rsidRPr="009A715E">
        <w:rPr>
          <w:rFonts w:ascii="Times New Roman" w:hAnsi="Times New Roman" w:cs="Times New Roman"/>
          <w:sz w:val="26"/>
          <w:szCs w:val="26"/>
        </w:rPr>
        <w:t xml:space="preserve"> застраховки,  </w:t>
      </w:r>
      <w:r w:rsidR="00213E92">
        <w:rPr>
          <w:rFonts w:ascii="Times New Roman" w:hAnsi="Times New Roman" w:cs="Times New Roman"/>
          <w:sz w:val="26"/>
          <w:szCs w:val="26"/>
        </w:rPr>
        <w:t>абонаментно поддържане</w:t>
      </w:r>
      <w:r w:rsidR="004932EE" w:rsidRPr="009A715E">
        <w:rPr>
          <w:rFonts w:ascii="Times New Roman" w:hAnsi="Times New Roman" w:cs="Times New Roman"/>
          <w:sz w:val="26"/>
          <w:szCs w:val="26"/>
        </w:rPr>
        <w:t>.</w:t>
      </w:r>
      <w:r w:rsidR="00B55949" w:rsidRPr="009A715E">
        <w:rPr>
          <w:rFonts w:ascii="Times New Roman" w:hAnsi="Times New Roman" w:cs="Times New Roman"/>
          <w:sz w:val="26"/>
          <w:szCs w:val="26"/>
        </w:rPr>
        <w:t xml:space="preserve"> Намалени са </w:t>
      </w:r>
      <w:r w:rsidR="00213E92">
        <w:rPr>
          <w:rFonts w:ascii="Times New Roman" w:hAnsi="Times New Roman" w:cs="Times New Roman"/>
          <w:sz w:val="26"/>
          <w:szCs w:val="26"/>
        </w:rPr>
        <w:t>безплатна храна и застраховки</w:t>
      </w:r>
      <w:r w:rsidR="00E91F9C" w:rsidRPr="009A715E">
        <w:rPr>
          <w:rFonts w:ascii="Times New Roman" w:hAnsi="Times New Roman" w:cs="Times New Roman"/>
          <w:sz w:val="26"/>
          <w:szCs w:val="26"/>
        </w:rPr>
        <w:t>.</w:t>
      </w:r>
    </w:p>
    <w:p w14:paraId="483EC94D" w14:textId="77777777" w:rsidR="00D13F28" w:rsidRPr="009A715E" w:rsidRDefault="00D13F28" w:rsidP="00FF2713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Обосновка променливи разходи</w:t>
      </w:r>
    </w:p>
    <w:p w14:paraId="2BBD5EB3" w14:textId="77777777" w:rsidR="00D13F28" w:rsidRPr="009A715E" w:rsidRDefault="00D13F28" w:rsidP="00A1592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Тези разходи следват производствената програма и ефективността на производството. </w:t>
      </w:r>
    </w:p>
    <w:p w14:paraId="1AE6CDB3" w14:textId="1263E255" w:rsidR="0065156A" w:rsidRPr="009A715E" w:rsidRDefault="00E226E7" w:rsidP="00A1592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Цената на въглищата</w:t>
      </w:r>
      <w:r w:rsidRPr="009A715E">
        <w:rPr>
          <w:rFonts w:ascii="Times New Roman" w:hAnsi="Times New Roman" w:cs="Times New Roman"/>
          <w:sz w:val="26"/>
          <w:szCs w:val="26"/>
        </w:rPr>
        <w:t xml:space="preserve"> за 20</w:t>
      </w:r>
      <w:r w:rsidR="000F7DE3" w:rsidRPr="009A715E">
        <w:rPr>
          <w:rFonts w:ascii="Times New Roman" w:hAnsi="Times New Roman" w:cs="Times New Roman"/>
          <w:sz w:val="26"/>
          <w:szCs w:val="26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5</w:t>
      </w:r>
      <w:r w:rsidR="000F7DE3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D13F28" w:rsidRPr="009A715E">
        <w:rPr>
          <w:rFonts w:ascii="Times New Roman" w:hAnsi="Times New Roman" w:cs="Times New Roman"/>
          <w:sz w:val="26"/>
          <w:szCs w:val="26"/>
        </w:rPr>
        <w:t>г.</w:t>
      </w:r>
      <w:r w:rsidR="000F7DE3" w:rsidRPr="009A715E">
        <w:rPr>
          <w:rFonts w:ascii="Times New Roman" w:hAnsi="Times New Roman" w:cs="Times New Roman"/>
          <w:sz w:val="26"/>
          <w:szCs w:val="26"/>
        </w:rPr>
        <w:t>-202</w:t>
      </w:r>
      <w:r w:rsidR="00213E92">
        <w:rPr>
          <w:rFonts w:ascii="Times New Roman" w:hAnsi="Times New Roman" w:cs="Times New Roman"/>
          <w:sz w:val="26"/>
          <w:szCs w:val="26"/>
        </w:rPr>
        <w:t>6</w:t>
      </w:r>
      <w:r w:rsidR="00F77BE3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0F7DE3" w:rsidRPr="009A715E">
        <w:rPr>
          <w:rFonts w:ascii="Times New Roman" w:hAnsi="Times New Roman" w:cs="Times New Roman"/>
          <w:sz w:val="26"/>
          <w:szCs w:val="26"/>
        </w:rPr>
        <w:t>г.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е образувана на </w:t>
      </w:r>
      <w:r w:rsidR="00CF73C9" w:rsidRPr="009A715E">
        <w:rPr>
          <w:rFonts w:ascii="Times New Roman" w:hAnsi="Times New Roman" w:cs="Times New Roman"/>
          <w:sz w:val="26"/>
          <w:szCs w:val="26"/>
        </w:rPr>
        <w:t>база наличните въглища на склад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 към </w:t>
      </w:r>
      <w:r w:rsidR="00F77BE3" w:rsidRPr="009A715E">
        <w:rPr>
          <w:rFonts w:ascii="Times New Roman" w:hAnsi="Times New Roman" w:cs="Times New Roman"/>
          <w:sz w:val="26"/>
          <w:szCs w:val="26"/>
        </w:rPr>
        <w:t>01</w:t>
      </w:r>
      <w:r w:rsidR="00D13F28" w:rsidRPr="009A715E">
        <w:rPr>
          <w:rFonts w:ascii="Times New Roman" w:hAnsi="Times New Roman" w:cs="Times New Roman"/>
          <w:sz w:val="26"/>
          <w:szCs w:val="26"/>
        </w:rPr>
        <w:t>.03</w:t>
      </w:r>
      <w:r w:rsidR="000F3A4B" w:rsidRPr="009A715E">
        <w:rPr>
          <w:rFonts w:ascii="Times New Roman" w:hAnsi="Times New Roman" w:cs="Times New Roman"/>
          <w:sz w:val="26"/>
          <w:szCs w:val="26"/>
        </w:rPr>
        <w:t>.20</w:t>
      </w:r>
      <w:r w:rsidR="000F7DE3" w:rsidRPr="009A715E">
        <w:rPr>
          <w:rFonts w:ascii="Times New Roman" w:hAnsi="Times New Roman" w:cs="Times New Roman"/>
          <w:sz w:val="26"/>
          <w:szCs w:val="26"/>
        </w:rPr>
        <w:t>2</w:t>
      </w:r>
      <w:r w:rsidR="00213E92">
        <w:rPr>
          <w:rFonts w:ascii="Times New Roman" w:hAnsi="Times New Roman" w:cs="Times New Roman"/>
          <w:sz w:val="26"/>
          <w:szCs w:val="26"/>
        </w:rPr>
        <w:t>5</w:t>
      </w:r>
      <w:r w:rsidR="00A43E43" w:rsidRPr="009A715E">
        <w:rPr>
          <w:rFonts w:ascii="Times New Roman" w:hAnsi="Times New Roman" w:cs="Times New Roman"/>
          <w:sz w:val="26"/>
          <w:szCs w:val="26"/>
        </w:rPr>
        <w:t xml:space="preserve"> г., </w:t>
      </w:r>
      <w:r w:rsidR="00CF73C9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A43E43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Прилагаме </w:t>
      </w:r>
      <w:r w:rsidR="00D13F28" w:rsidRPr="009A715E">
        <w:rPr>
          <w:rFonts w:ascii="Times New Roman" w:hAnsi="Times New Roman" w:cs="Times New Roman"/>
          <w:b/>
          <w:bCs/>
          <w:sz w:val="26"/>
          <w:szCs w:val="26"/>
        </w:rPr>
        <w:t>справка 6</w:t>
      </w:r>
      <w:r w:rsidR="00D13F28" w:rsidRPr="009A715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EBC4079" w14:textId="77777777" w:rsidR="00431A74" w:rsidRPr="009A715E" w:rsidRDefault="00D13F28" w:rsidP="005725C1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Цената на природния газ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DC47B8" w14:textId="0B17882D" w:rsidR="002B08E5" w:rsidRPr="009A715E" w:rsidRDefault="002A2ADC" w:rsidP="005725C1">
      <w:pPr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Цена на природен газ включва</w:t>
      </w:r>
      <w:r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r w:rsidRPr="009A715E">
        <w:rPr>
          <w:rFonts w:ascii="Times New Roman" w:hAnsi="Times New Roman" w:cs="Times New Roman"/>
          <w:sz w:val="26"/>
          <w:szCs w:val="26"/>
        </w:rPr>
        <w:t>пределни цени за пренос и снабдяване през разпределителната мрежа на Овергаз Мрежи</w:t>
      </w:r>
      <w:r w:rsidR="00E21752">
        <w:rPr>
          <w:rFonts w:ascii="Times New Roman" w:hAnsi="Times New Roman" w:cs="Times New Roman"/>
          <w:sz w:val="26"/>
          <w:szCs w:val="26"/>
        </w:rPr>
        <w:t xml:space="preserve"> о</w:t>
      </w:r>
      <w:r w:rsidR="00AB4C2F" w:rsidRPr="009A715E">
        <w:rPr>
          <w:rFonts w:ascii="Times New Roman" w:hAnsi="Times New Roman" w:cs="Times New Roman"/>
          <w:sz w:val="26"/>
          <w:szCs w:val="26"/>
        </w:rPr>
        <w:t xml:space="preserve">пределена  е спрямо цената за м. </w:t>
      </w:r>
      <w:r w:rsidR="00213E92">
        <w:rPr>
          <w:rFonts w:ascii="Times New Roman" w:hAnsi="Times New Roman" w:cs="Times New Roman"/>
          <w:sz w:val="26"/>
          <w:szCs w:val="26"/>
        </w:rPr>
        <w:t>февруари</w:t>
      </w:r>
      <w:r w:rsidR="00AB4C2F" w:rsidRPr="009A715E">
        <w:rPr>
          <w:rFonts w:ascii="Times New Roman" w:hAnsi="Times New Roman" w:cs="Times New Roman"/>
          <w:sz w:val="26"/>
          <w:szCs w:val="26"/>
        </w:rPr>
        <w:t xml:space="preserve"> 202</w:t>
      </w:r>
      <w:r w:rsidR="00213E92">
        <w:rPr>
          <w:rFonts w:ascii="Times New Roman" w:hAnsi="Times New Roman" w:cs="Times New Roman"/>
          <w:sz w:val="26"/>
          <w:szCs w:val="26"/>
        </w:rPr>
        <w:t>5</w:t>
      </w:r>
      <w:r w:rsidR="00AB4C2F" w:rsidRPr="009A715E">
        <w:rPr>
          <w:rFonts w:ascii="Times New Roman" w:hAnsi="Times New Roman" w:cs="Times New Roman"/>
          <w:sz w:val="26"/>
          <w:szCs w:val="26"/>
        </w:rPr>
        <w:t xml:space="preserve"> г</w:t>
      </w:r>
    </w:p>
    <w:p w14:paraId="4BB81D75" w14:textId="77777777" w:rsidR="006C5D66" w:rsidRPr="009A715E" w:rsidRDefault="006C5D66" w:rsidP="005725C1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41" w:rightFromText="141" w:vertAnchor="text" w:horzAnchor="page" w:tblpX="2976" w:tblpY="-267"/>
        <w:tblW w:w="3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1"/>
        <w:gridCol w:w="1179"/>
        <w:gridCol w:w="960"/>
      </w:tblGrid>
      <w:tr w:rsidR="00213E92" w:rsidRPr="009A715E" w14:paraId="3B1C9424" w14:textId="77777777" w:rsidTr="00213E92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FE03" w14:textId="47E31269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 xml:space="preserve">Цена на пр. газ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87B0" w14:textId="5AF77D1A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BGN/</w:t>
            </w:r>
            <w:proofErr w:type="spellStart"/>
            <w:r w:rsidRPr="00E21752">
              <w:rPr>
                <w:rFonts w:ascii="Times New Roman" w:hAnsi="Times New Roman" w:cs="Times New Roman"/>
              </w:rPr>
              <w:t>MWh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48E95988" w14:textId="799857E9" w:rsidR="00213E92" w:rsidRPr="00E21752" w:rsidRDefault="00213E92" w:rsidP="004932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84,40</w:t>
            </w:r>
          </w:p>
        </w:tc>
      </w:tr>
      <w:tr w:rsidR="00213E92" w:rsidRPr="009A715E" w14:paraId="48BB2A52" w14:textId="77777777" w:rsidTr="00213E92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0BD5" w14:textId="6D4616EA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 xml:space="preserve">Цена за пренос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ED3A8" w14:textId="6387237D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BGN/</w:t>
            </w:r>
            <w:proofErr w:type="spellStart"/>
            <w:r w:rsidRPr="00E21752">
              <w:rPr>
                <w:rFonts w:ascii="Times New Roman" w:hAnsi="Times New Roman" w:cs="Times New Roman"/>
              </w:rPr>
              <w:t>MWh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51DA8F60" w14:textId="7042DD82" w:rsidR="00213E92" w:rsidRPr="00E21752" w:rsidRDefault="00213E92" w:rsidP="004932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26,35</w:t>
            </w:r>
          </w:p>
        </w:tc>
      </w:tr>
      <w:tr w:rsidR="00213E92" w:rsidRPr="009A715E" w14:paraId="6E7C5188" w14:textId="77777777" w:rsidTr="00213E92">
        <w:trPr>
          <w:trHeight w:val="34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5A77" w14:textId="34EA07DE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Цена за достъп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2566E" w14:textId="52695278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BGN/</w:t>
            </w:r>
            <w:proofErr w:type="spellStart"/>
            <w:r w:rsidRPr="00E21752">
              <w:rPr>
                <w:rFonts w:ascii="Times New Roman" w:hAnsi="Times New Roman" w:cs="Times New Roman"/>
              </w:rPr>
              <w:t>MWh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97A9392" w14:textId="29FD4281" w:rsidR="00213E92" w:rsidRPr="00E21752" w:rsidRDefault="00213E92" w:rsidP="004932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1,29</w:t>
            </w:r>
          </w:p>
        </w:tc>
      </w:tr>
      <w:tr w:rsidR="00213E92" w:rsidRPr="009A715E" w14:paraId="73174729" w14:textId="77777777" w:rsidTr="00213E92">
        <w:trPr>
          <w:trHeight w:val="51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B43C" w14:textId="113CA90B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Цена + достъп + пренос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F35F1" w14:textId="2D8D9A30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BGN/</w:t>
            </w:r>
            <w:proofErr w:type="spellStart"/>
            <w:r w:rsidRPr="00E21752">
              <w:rPr>
                <w:rFonts w:ascii="Times New Roman" w:hAnsi="Times New Roman" w:cs="Times New Roman"/>
              </w:rPr>
              <w:t>MWh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16537B8" w14:textId="698A923A" w:rsidR="00213E92" w:rsidRPr="00E21752" w:rsidRDefault="00213E92" w:rsidP="00982EF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112,04</w:t>
            </w:r>
          </w:p>
        </w:tc>
      </w:tr>
      <w:tr w:rsidR="00213E92" w:rsidRPr="009A715E" w14:paraId="4B2B019D" w14:textId="77777777" w:rsidTr="00213E92">
        <w:trPr>
          <w:trHeight w:val="51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B96C" w14:textId="5F2DB2DB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752">
              <w:rPr>
                <w:rFonts w:ascii="Times New Roman" w:hAnsi="Times New Roman" w:cs="Times New Roman"/>
              </w:rPr>
              <w:t>Коефициент на преобразуване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D4DF5" w14:textId="2C61000D" w:rsidR="00213E92" w:rsidRPr="00E21752" w:rsidRDefault="00213E92" w:rsidP="004932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752">
              <w:rPr>
                <w:rFonts w:ascii="Times New Roman" w:hAnsi="Times New Roman" w:cs="Times New Roman"/>
              </w:rPr>
              <w:t>kWh</w:t>
            </w:r>
            <w:proofErr w:type="spellEnd"/>
            <w:r w:rsidRPr="00E21752">
              <w:rPr>
                <w:rFonts w:ascii="Times New Roman" w:hAnsi="Times New Roman" w:cs="Times New Roman"/>
              </w:rPr>
              <w:t>/m</w:t>
            </w:r>
            <w:r w:rsidRPr="00E2175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5C949528" w14:textId="4323061F" w:rsidR="00213E92" w:rsidRPr="00E21752" w:rsidRDefault="00213E92" w:rsidP="00AB4C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10,731</w:t>
            </w:r>
          </w:p>
        </w:tc>
      </w:tr>
    </w:tbl>
    <w:p w14:paraId="714EF382" w14:textId="77777777" w:rsidR="006C5D66" w:rsidRPr="009A715E" w:rsidRDefault="006C5D66" w:rsidP="005725C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E0B28A" w14:textId="77777777" w:rsidR="006C5D66" w:rsidRPr="009A715E" w:rsidRDefault="006C5D66" w:rsidP="005725C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22CE6B8" w14:textId="77777777" w:rsidR="001C754D" w:rsidRPr="009A715E" w:rsidRDefault="001C754D" w:rsidP="005725C1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6EAAA83A" w14:textId="77777777" w:rsidR="009A715E" w:rsidRPr="009A715E" w:rsidRDefault="009A715E" w:rsidP="005725C1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301EFD1A" w14:textId="77777777" w:rsidR="00E21752" w:rsidRDefault="00E21752" w:rsidP="005725C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6FD38BD" w14:textId="77777777" w:rsidR="00E21752" w:rsidRDefault="00E21752" w:rsidP="005725C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1AE9F9D" w14:textId="77777777" w:rsidR="00213E92" w:rsidRDefault="00213E92" w:rsidP="005725C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8C03E65" w14:textId="77777777" w:rsidR="000D663B" w:rsidRPr="009A715E" w:rsidRDefault="000D663B" w:rsidP="005725C1">
      <w:pPr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Цена на 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биогориво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</w:rPr>
        <w:t>:</w:t>
      </w:r>
    </w:p>
    <w:p w14:paraId="52264BAF" w14:textId="60C6D1CB" w:rsidR="007B7D26" w:rsidRPr="009A715E" w:rsidRDefault="007B7D26" w:rsidP="007B7D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sz w:val="26"/>
          <w:szCs w:val="26"/>
        </w:rPr>
        <w:t>За новият вид гориво е приключила процедурата по актуализация на комплексно разрешително №54/2005г. с Решение за актуализация № 54-Н0-И0-А</w:t>
      </w:r>
      <w:r w:rsidR="001C754D" w:rsidRPr="009A715E">
        <w:rPr>
          <w:rFonts w:ascii="Times New Roman" w:hAnsi="Times New Roman" w:cs="Times New Roman"/>
          <w:sz w:val="26"/>
          <w:szCs w:val="26"/>
        </w:rPr>
        <w:t>7</w:t>
      </w:r>
      <w:r w:rsidRPr="009A715E">
        <w:rPr>
          <w:rFonts w:ascii="Times New Roman" w:hAnsi="Times New Roman" w:cs="Times New Roman"/>
          <w:sz w:val="26"/>
          <w:szCs w:val="26"/>
        </w:rPr>
        <w:t>-ТГ1/202</w:t>
      </w:r>
      <w:r w:rsidR="00431A74" w:rsidRPr="009A715E">
        <w:rPr>
          <w:rFonts w:ascii="Times New Roman" w:hAnsi="Times New Roman" w:cs="Times New Roman"/>
          <w:sz w:val="26"/>
          <w:szCs w:val="26"/>
          <w:lang w:val="en-US"/>
        </w:rPr>
        <w:t>1</w:t>
      </w:r>
      <w:r w:rsidRPr="009A715E">
        <w:rPr>
          <w:rFonts w:ascii="Times New Roman" w:hAnsi="Times New Roman" w:cs="Times New Roman"/>
          <w:sz w:val="26"/>
          <w:szCs w:val="26"/>
        </w:rPr>
        <w:t>г., съгласно което се разрешава употребата на „Биомаса“  като гориво, отговарящо на определението, съгласно параграф 1, т.1 от „Допълнителни разпоредби“ на Закона за управление на отпадъците.</w:t>
      </w:r>
      <w:r w:rsidR="009A715E"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9A715E" w:rsidRPr="009A715E">
        <w:rPr>
          <w:rFonts w:ascii="Times New Roman" w:hAnsi="Times New Roman" w:cs="Times New Roman"/>
          <w:sz w:val="26"/>
          <w:szCs w:val="26"/>
        </w:rPr>
        <w:t>Цената е предвидена съгл</w:t>
      </w:r>
      <w:r w:rsidR="00E21752">
        <w:rPr>
          <w:rFonts w:ascii="Times New Roman" w:hAnsi="Times New Roman" w:cs="Times New Roman"/>
          <w:sz w:val="26"/>
          <w:szCs w:val="26"/>
        </w:rPr>
        <w:t xml:space="preserve">асно проучвания на пазара за слънчогледови </w:t>
      </w:r>
      <w:r w:rsidR="009A715E" w:rsidRPr="009A71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A715E" w:rsidRPr="009A715E">
        <w:rPr>
          <w:rFonts w:ascii="Times New Roman" w:hAnsi="Times New Roman" w:cs="Times New Roman"/>
          <w:sz w:val="26"/>
          <w:szCs w:val="26"/>
        </w:rPr>
        <w:t>пелети</w:t>
      </w:r>
      <w:proofErr w:type="spellEnd"/>
      <w:r w:rsidR="009A715E" w:rsidRPr="009A715E">
        <w:rPr>
          <w:rFonts w:ascii="Times New Roman" w:hAnsi="Times New Roman" w:cs="Times New Roman"/>
          <w:sz w:val="26"/>
          <w:szCs w:val="26"/>
        </w:rPr>
        <w:t>.</w:t>
      </w:r>
    </w:p>
    <w:p w14:paraId="22324BBF" w14:textId="77777777" w:rsidR="007B7D26" w:rsidRPr="009A715E" w:rsidRDefault="007B7D26" w:rsidP="001D7885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6FB4F33" w14:textId="77777777" w:rsidR="00A2740B" w:rsidRPr="009A715E" w:rsidRDefault="00D13F28" w:rsidP="001D788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Разходите за закупуване на вода, консумативи</w:t>
      </w:r>
      <w:r w:rsidRPr="009A715E">
        <w:rPr>
          <w:rFonts w:ascii="Times New Roman" w:hAnsi="Times New Roman" w:cs="Times New Roman"/>
          <w:sz w:val="26"/>
          <w:szCs w:val="26"/>
        </w:rPr>
        <w:t xml:space="preserve"> (хим. реагенти за омекотяване на речната вода) са прогнозирани на база</w:t>
      </w:r>
      <w:r w:rsidR="00F6293D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sz w:val="26"/>
          <w:szCs w:val="26"/>
        </w:rPr>
        <w:t>производството на топло и електроенергия и на база промени в цените за закупуването им.</w:t>
      </w:r>
      <w:r w:rsidR="000B37CF" w:rsidRPr="009A715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90A9B0" w14:textId="121A12CC" w:rsidR="004516ED" w:rsidRPr="009A715E" w:rsidRDefault="00D13F28" w:rsidP="001D7885">
      <w:pPr>
        <w:spacing w:line="240" w:lineRule="auto"/>
        <w:jc w:val="both"/>
        <w:rPr>
          <w:rFonts w:ascii="Times New Roman" w:hAnsi="Times New Roman" w:cs="Times New Roman"/>
          <w:vanish/>
          <w:sz w:val="26"/>
          <w:szCs w:val="26"/>
        </w:rPr>
      </w:pPr>
      <w:r w:rsidRPr="009A715E">
        <w:rPr>
          <w:rFonts w:ascii="Times New Roman" w:hAnsi="Times New Roman" w:cs="Times New Roman"/>
          <w:vanish/>
          <w:sz w:val="26"/>
          <w:szCs w:val="26"/>
        </w:rPr>
        <w:t xml:space="preserve"> </w:t>
      </w:r>
    </w:p>
    <w:p w14:paraId="0ECAB3D6" w14:textId="77777777" w:rsidR="00D13F28" w:rsidRPr="009A715E" w:rsidRDefault="00BE611E" w:rsidP="001D788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Обосновка на 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СН</w:t>
      </w:r>
      <w:r w:rsidRPr="009A715E">
        <w:rPr>
          <w:rFonts w:ascii="Times New Roman" w:hAnsi="Times New Roman" w:cs="Times New Roman"/>
          <w:b/>
          <w:sz w:val="26"/>
          <w:szCs w:val="26"/>
          <w:vertAlign w:val="subscript"/>
        </w:rPr>
        <w:t>ел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  <w:vertAlign w:val="subscript"/>
        </w:rPr>
        <w:t>.</w:t>
      </w:r>
      <w:r w:rsidRPr="009A715E">
        <w:rPr>
          <w:rFonts w:ascii="Times New Roman" w:hAnsi="Times New Roman" w:cs="Times New Roman"/>
          <w:sz w:val="26"/>
          <w:szCs w:val="26"/>
        </w:rPr>
        <w:t xml:space="preserve"> на централата в </w:t>
      </w:r>
      <w:r w:rsidRPr="009A715E">
        <w:rPr>
          <w:rFonts w:ascii="Times New Roman" w:hAnsi="Times New Roman" w:cs="Times New Roman"/>
          <w:b/>
          <w:sz w:val="26"/>
          <w:szCs w:val="26"/>
        </w:rPr>
        <w:t>справка 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и разходите за закупуване на ел.енергия в </w:t>
      </w:r>
      <w:r w:rsidRPr="009A715E">
        <w:rPr>
          <w:rFonts w:ascii="Times New Roman" w:hAnsi="Times New Roman" w:cs="Times New Roman"/>
          <w:b/>
          <w:sz w:val="26"/>
          <w:szCs w:val="26"/>
        </w:rPr>
        <w:t>справка 1</w:t>
      </w:r>
      <w:r w:rsidRPr="009A715E">
        <w:rPr>
          <w:rFonts w:ascii="Times New Roman" w:hAnsi="Times New Roman" w:cs="Times New Roman"/>
          <w:sz w:val="26"/>
          <w:szCs w:val="26"/>
        </w:rPr>
        <w:t xml:space="preserve"> от </w:t>
      </w:r>
      <w:r w:rsidRPr="009A715E">
        <w:rPr>
          <w:rFonts w:ascii="Times New Roman" w:hAnsi="Times New Roman" w:cs="Times New Roman"/>
          <w:b/>
          <w:sz w:val="26"/>
          <w:szCs w:val="26"/>
        </w:rPr>
        <w:t>Справки от №1 до №9</w:t>
      </w:r>
      <w:r w:rsidRPr="009A715E">
        <w:rPr>
          <w:rFonts w:ascii="Times New Roman" w:hAnsi="Times New Roman" w:cs="Times New Roman"/>
          <w:sz w:val="26"/>
          <w:szCs w:val="26"/>
        </w:rPr>
        <w:t>.</w:t>
      </w:r>
    </w:p>
    <w:p w14:paraId="1161C5A1" w14:textId="3AA909BE" w:rsidR="00BE611E" w:rsidRPr="009A715E" w:rsidRDefault="00BE611E" w:rsidP="001D788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9A715E">
        <w:rPr>
          <w:rFonts w:ascii="Times New Roman" w:hAnsi="Times New Roman" w:cs="Times New Roman"/>
          <w:sz w:val="26"/>
          <w:szCs w:val="26"/>
        </w:rPr>
        <w:t>СН</w:t>
      </w:r>
      <w:r w:rsidRPr="009A715E">
        <w:rPr>
          <w:rFonts w:ascii="Times New Roman" w:hAnsi="Times New Roman" w:cs="Times New Roman"/>
          <w:sz w:val="26"/>
          <w:szCs w:val="26"/>
          <w:vertAlign w:val="subscript"/>
        </w:rPr>
        <w:t>ел</w:t>
      </w:r>
      <w:proofErr w:type="spellEnd"/>
      <w:r w:rsidRPr="009A715E">
        <w:rPr>
          <w:rFonts w:ascii="Times New Roman" w:hAnsi="Times New Roman" w:cs="Times New Roman"/>
          <w:sz w:val="26"/>
          <w:szCs w:val="26"/>
          <w:vertAlign w:val="subscript"/>
        </w:rPr>
        <w:t>.</w:t>
      </w:r>
      <w:proofErr w:type="spellStart"/>
      <w:r w:rsidR="00175741" w:rsidRPr="009A715E">
        <w:rPr>
          <w:rFonts w:ascii="Times New Roman" w:hAnsi="Times New Roman" w:cs="Times New Roman"/>
          <w:sz w:val="26"/>
          <w:szCs w:val="26"/>
          <w:vertAlign w:val="subscript"/>
        </w:rPr>
        <w:t>ен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 xml:space="preserve"> на централата за прогнозния период </w:t>
      </w:r>
      <w:r w:rsidR="009434D2" w:rsidRPr="009A715E">
        <w:rPr>
          <w:rFonts w:ascii="Times New Roman" w:hAnsi="Times New Roman" w:cs="Times New Roman"/>
          <w:sz w:val="26"/>
          <w:szCs w:val="26"/>
        </w:rPr>
        <w:t xml:space="preserve">са изготвени </w:t>
      </w:r>
      <w:r w:rsidR="00894DBB" w:rsidRPr="009A715E">
        <w:rPr>
          <w:rFonts w:ascii="Times New Roman" w:hAnsi="Times New Roman" w:cs="Times New Roman"/>
          <w:sz w:val="26"/>
          <w:szCs w:val="26"/>
        </w:rPr>
        <w:t>на база анализ на отчета за 20</w:t>
      </w:r>
      <w:r w:rsidR="00066794">
        <w:rPr>
          <w:rFonts w:ascii="Times New Roman" w:hAnsi="Times New Roman" w:cs="Times New Roman"/>
          <w:sz w:val="26"/>
          <w:szCs w:val="26"/>
        </w:rPr>
        <w:t>24</w:t>
      </w:r>
      <w:r w:rsidR="007B7D26" w:rsidRPr="009A715E">
        <w:rPr>
          <w:rFonts w:ascii="Times New Roman" w:hAnsi="Times New Roman" w:cs="Times New Roman"/>
          <w:sz w:val="26"/>
          <w:szCs w:val="26"/>
        </w:rPr>
        <w:t xml:space="preserve"> </w:t>
      </w:r>
      <w:r w:rsidR="00894DBB" w:rsidRPr="009A715E">
        <w:rPr>
          <w:rFonts w:ascii="Times New Roman" w:hAnsi="Times New Roman" w:cs="Times New Roman"/>
          <w:sz w:val="26"/>
          <w:szCs w:val="26"/>
        </w:rPr>
        <w:t>г. и прогнозата за производството на топло и електро енергия</w:t>
      </w:r>
      <w:r w:rsidR="006C5AF1" w:rsidRPr="009A715E">
        <w:rPr>
          <w:rFonts w:ascii="Times New Roman" w:hAnsi="Times New Roman" w:cs="Times New Roman"/>
          <w:sz w:val="26"/>
          <w:szCs w:val="26"/>
        </w:rPr>
        <w:t>,</w:t>
      </w:r>
      <w:r w:rsidR="00894DBB" w:rsidRPr="009A715E">
        <w:rPr>
          <w:rFonts w:ascii="Times New Roman" w:hAnsi="Times New Roman" w:cs="Times New Roman"/>
          <w:sz w:val="26"/>
          <w:szCs w:val="26"/>
        </w:rPr>
        <w:t xml:space="preserve"> съгласно нал</w:t>
      </w:r>
      <w:r w:rsidR="006C5AF1" w:rsidRPr="009A715E">
        <w:rPr>
          <w:rFonts w:ascii="Times New Roman" w:hAnsi="Times New Roman" w:cs="Times New Roman"/>
          <w:sz w:val="26"/>
          <w:szCs w:val="26"/>
        </w:rPr>
        <w:t>ичните производствени мощности</w:t>
      </w:r>
      <w:r w:rsidR="00750F7C" w:rsidRPr="009A715E">
        <w:rPr>
          <w:rFonts w:ascii="Times New Roman" w:hAnsi="Times New Roman" w:cs="Times New Roman"/>
          <w:sz w:val="26"/>
          <w:szCs w:val="26"/>
        </w:rPr>
        <w:t xml:space="preserve"> и съгласно подход</w:t>
      </w:r>
      <w:r w:rsidR="00DB028C" w:rsidRPr="009A715E">
        <w:rPr>
          <w:rFonts w:ascii="Times New Roman" w:hAnsi="Times New Roman" w:cs="Times New Roman"/>
          <w:sz w:val="26"/>
          <w:szCs w:val="26"/>
        </w:rPr>
        <w:t>а на Комисията от предходните ре</w:t>
      </w:r>
      <w:r w:rsidR="00750F7C" w:rsidRPr="009A715E">
        <w:rPr>
          <w:rFonts w:ascii="Times New Roman" w:hAnsi="Times New Roman" w:cs="Times New Roman"/>
          <w:sz w:val="26"/>
          <w:szCs w:val="26"/>
        </w:rPr>
        <w:t>гулаторни периоди.</w:t>
      </w:r>
    </w:p>
    <w:p w14:paraId="6EE75D65" w14:textId="77777777" w:rsidR="00A1592A" w:rsidRPr="009A715E" w:rsidRDefault="00A1592A" w:rsidP="001D788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CF6D677" w14:textId="77777777" w:rsidR="00025DBF" w:rsidRPr="009A715E" w:rsidRDefault="00894DBB" w:rsidP="00894DB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Разходите за з</w:t>
      </w:r>
      <w:r w:rsidR="009434D2" w:rsidRPr="009A715E">
        <w:rPr>
          <w:rFonts w:ascii="Times New Roman" w:hAnsi="Times New Roman" w:cs="Times New Roman"/>
          <w:b/>
          <w:sz w:val="26"/>
          <w:szCs w:val="26"/>
        </w:rPr>
        <w:t>акупена</w:t>
      </w:r>
      <w:r w:rsidR="00175741" w:rsidRPr="009A715E">
        <w:rPr>
          <w:rFonts w:ascii="Times New Roman" w:hAnsi="Times New Roman" w:cs="Times New Roman"/>
          <w:b/>
          <w:sz w:val="26"/>
          <w:szCs w:val="26"/>
        </w:rPr>
        <w:t xml:space="preserve"> ел.енергия</w:t>
      </w:r>
      <w:r w:rsidRPr="009A715E">
        <w:rPr>
          <w:rFonts w:ascii="Times New Roman" w:hAnsi="Times New Roman" w:cs="Times New Roman"/>
          <w:sz w:val="26"/>
          <w:szCs w:val="26"/>
        </w:rPr>
        <w:t xml:space="preserve"> са </w:t>
      </w:r>
      <w:r w:rsidR="007B7D26" w:rsidRPr="009A715E">
        <w:rPr>
          <w:rFonts w:ascii="Times New Roman" w:hAnsi="Times New Roman" w:cs="Times New Roman"/>
          <w:sz w:val="26"/>
          <w:szCs w:val="26"/>
        </w:rPr>
        <w:t>съобразени с работата на „ТЕЦ Горна Оряховица“ ЕАД.</w:t>
      </w:r>
    </w:p>
    <w:p w14:paraId="648E66EC" w14:textId="77777777" w:rsidR="009434D2" w:rsidRPr="009A715E" w:rsidRDefault="009434D2" w:rsidP="00FB7627">
      <w:pPr>
        <w:pStyle w:val="a3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Изграждането на </w:t>
      </w: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водооборотен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 xml:space="preserve"> цикъл налага допълнително закупуване на ел.енергия за захранване на помпи оборотна вод</w:t>
      </w:r>
      <w:r w:rsidR="007B7D26" w:rsidRPr="009A715E">
        <w:rPr>
          <w:rFonts w:ascii="Times New Roman" w:hAnsi="Times New Roman" w:cs="Times New Roman"/>
          <w:sz w:val="26"/>
          <w:szCs w:val="26"/>
        </w:rPr>
        <w:t>а;</w:t>
      </w:r>
    </w:p>
    <w:p w14:paraId="460F67D1" w14:textId="1D44DB48" w:rsidR="007B7D26" w:rsidRPr="009A715E" w:rsidRDefault="00F77BE3" w:rsidP="009434D2">
      <w:pPr>
        <w:pStyle w:val="a3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sz w:val="26"/>
          <w:szCs w:val="26"/>
        </w:rPr>
        <w:t>П</w:t>
      </w:r>
      <w:r w:rsidR="00E517A4" w:rsidRPr="009A715E">
        <w:rPr>
          <w:rFonts w:ascii="Times New Roman" w:hAnsi="Times New Roman" w:cs="Times New Roman"/>
          <w:sz w:val="26"/>
          <w:szCs w:val="26"/>
        </w:rPr>
        <w:t xml:space="preserve">ровеждане на </w:t>
      </w:r>
      <w:r w:rsidR="00A2740B" w:rsidRPr="009A715E">
        <w:rPr>
          <w:rFonts w:ascii="Times New Roman" w:hAnsi="Times New Roman" w:cs="Times New Roman"/>
          <w:sz w:val="26"/>
          <w:szCs w:val="26"/>
        </w:rPr>
        <w:t>една</w:t>
      </w:r>
      <w:r w:rsidR="007B7D26" w:rsidRPr="009A715E">
        <w:rPr>
          <w:rFonts w:ascii="Times New Roman" w:hAnsi="Times New Roman" w:cs="Times New Roman"/>
          <w:sz w:val="26"/>
          <w:szCs w:val="26"/>
        </w:rPr>
        <w:t xml:space="preserve"> кампани</w:t>
      </w:r>
      <w:r w:rsidR="00A2740B" w:rsidRPr="009A715E">
        <w:rPr>
          <w:rFonts w:ascii="Times New Roman" w:hAnsi="Times New Roman" w:cs="Times New Roman"/>
          <w:sz w:val="26"/>
          <w:szCs w:val="26"/>
        </w:rPr>
        <w:t>я</w:t>
      </w:r>
      <w:r w:rsidR="007B7D26" w:rsidRPr="009A715E">
        <w:rPr>
          <w:rFonts w:ascii="Times New Roman" w:hAnsi="Times New Roman" w:cs="Times New Roman"/>
          <w:sz w:val="26"/>
          <w:szCs w:val="26"/>
        </w:rPr>
        <w:t xml:space="preserve"> с</w:t>
      </w:r>
      <w:r w:rsidRPr="009A715E">
        <w:rPr>
          <w:rFonts w:ascii="Times New Roman" w:hAnsi="Times New Roman" w:cs="Times New Roman"/>
          <w:sz w:val="26"/>
          <w:szCs w:val="26"/>
        </w:rPr>
        <w:t>ъс</w:t>
      </w:r>
      <w:r w:rsidR="007B7D26" w:rsidRPr="009A715E">
        <w:rPr>
          <w:rFonts w:ascii="Times New Roman" w:hAnsi="Times New Roman" w:cs="Times New Roman"/>
          <w:sz w:val="26"/>
          <w:szCs w:val="26"/>
        </w:rPr>
        <w:t xml:space="preserve"> „Завод за захар“;</w:t>
      </w:r>
    </w:p>
    <w:p w14:paraId="42B92E57" w14:textId="34EE8266" w:rsidR="00066794" w:rsidRDefault="00A865EC" w:rsidP="001D7885">
      <w:pPr>
        <w:pStyle w:val="a3"/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6794">
        <w:rPr>
          <w:rFonts w:ascii="Times New Roman" w:hAnsi="Times New Roman" w:cs="Times New Roman"/>
          <w:sz w:val="26"/>
          <w:szCs w:val="26"/>
        </w:rPr>
        <w:t xml:space="preserve">Прогнозирана е цена на купена ел.енергия, </w:t>
      </w:r>
      <w:r w:rsidR="00066794">
        <w:rPr>
          <w:rFonts w:ascii="Times New Roman" w:hAnsi="Times New Roman" w:cs="Times New Roman"/>
          <w:sz w:val="26"/>
          <w:szCs w:val="26"/>
        </w:rPr>
        <w:t>съобразно прогнозни данни.</w:t>
      </w:r>
    </w:p>
    <w:p w14:paraId="418FBC53" w14:textId="43C2F999" w:rsidR="00A24766" w:rsidRPr="00066794" w:rsidRDefault="00D13F28" w:rsidP="00066794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6794">
        <w:rPr>
          <w:rFonts w:ascii="Times New Roman" w:hAnsi="Times New Roman" w:cs="Times New Roman"/>
          <w:b/>
          <w:sz w:val="26"/>
          <w:szCs w:val="26"/>
        </w:rPr>
        <w:t>Разходите за външни услуги</w:t>
      </w:r>
      <w:r w:rsidRPr="00066794">
        <w:rPr>
          <w:rFonts w:ascii="Times New Roman" w:hAnsi="Times New Roman" w:cs="Times New Roman"/>
          <w:sz w:val="26"/>
          <w:szCs w:val="26"/>
        </w:rPr>
        <w:t xml:space="preserve"> </w:t>
      </w:r>
      <w:r w:rsidR="0029342C" w:rsidRPr="00066794">
        <w:rPr>
          <w:rFonts w:ascii="Times New Roman" w:hAnsi="Times New Roman" w:cs="Times New Roman"/>
          <w:sz w:val="26"/>
          <w:szCs w:val="26"/>
        </w:rPr>
        <w:t>са и</w:t>
      </w:r>
      <w:r w:rsidR="004932EE" w:rsidRPr="00066794">
        <w:rPr>
          <w:rFonts w:ascii="Times New Roman" w:hAnsi="Times New Roman" w:cs="Times New Roman"/>
          <w:sz w:val="26"/>
          <w:szCs w:val="26"/>
        </w:rPr>
        <w:t xml:space="preserve">дентични </w:t>
      </w:r>
      <w:r w:rsidR="00A24766" w:rsidRPr="00066794">
        <w:rPr>
          <w:rFonts w:ascii="Times New Roman" w:hAnsi="Times New Roman" w:cs="Times New Roman"/>
          <w:sz w:val="26"/>
          <w:szCs w:val="26"/>
        </w:rPr>
        <w:t xml:space="preserve"> </w:t>
      </w:r>
      <w:r w:rsidR="0029342C" w:rsidRPr="00066794">
        <w:rPr>
          <w:rFonts w:ascii="Times New Roman" w:hAnsi="Times New Roman" w:cs="Times New Roman"/>
          <w:sz w:val="26"/>
          <w:szCs w:val="26"/>
        </w:rPr>
        <w:t>със</w:t>
      </w:r>
      <w:r w:rsidR="00A24766" w:rsidRPr="00066794">
        <w:rPr>
          <w:rFonts w:ascii="Times New Roman" w:hAnsi="Times New Roman" w:cs="Times New Roman"/>
          <w:sz w:val="26"/>
          <w:szCs w:val="26"/>
        </w:rPr>
        <w:t xml:space="preserve"> отчет</w:t>
      </w:r>
      <w:r w:rsidRPr="00066794">
        <w:rPr>
          <w:rFonts w:ascii="Times New Roman" w:hAnsi="Times New Roman" w:cs="Times New Roman"/>
          <w:sz w:val="26"/>
          <w:szCs w:val="26"/>
        </w:rPr>
        <w:t xml:space="preserve"> 20</w:t>
      </w:r>
      <w:r w:rsidR="007B7D26" w:rsidRPr="00066794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4</w:t>
      </w:r>
      <w:r w:rsidRPr="00066794">
        <w:rPr>
          <w:rFonts w:ascii="Times New Roman" w:hAnsi="Times New Roman" w:cs="Times New Roman"/>
          <w:sz w:val="26"/>
          <w:szCs w:val="26"/>
        </w:rPr>
        <w:t xml:space="preserve"> г</w:t>
      </w:r>
      <w:r w:rsidR="0029342C" w:rsidRPr="00066794">
        <w:rPr>
          <w:rFonts w:ascii="Times New Roman" w:hAnsi="Times New Roman" w:cs="Times New Roman"/>
          <w:sz w:val="26"/>
          <w:szCs w:val="26"/>
        </w:rPr>
        <w:t>.</w:t>
      </w:r>
    </w:p>
    <w:p w14:paraId="42389C23" w14:textId="77777777" w:rsidR="00D13F28" w:rsidRPr="009A715E" w:rsidRDefault="00D13F28" w:rsidP="001D788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Разходите за акциз на въглища</w:t>
      </w:r>
      <w:r w:rsidR="00B7508E" w:rsidRPr="009A715E">
        <w:rPr>
          <w:rFonts w:ascii="Times New Roman" w:hAnsi="Times New Roman" w:cs="Times New Roman"/>
          <w:b/>
          <w:sz w:val="26"/>
          <w:szCs w:val="26"/>
        </w:rPr>
        <w:t xml:space="preserve"> и газ</w:t>
      </w:r>
      <w:r w:rsidR="009847D2" w:rsidRPr="009A715E">
        <w:rPr>
          <w:rFonts w:ascii="Times New Roman" w:hAnsi="Times New Roman" w:cs="Times New Roman"/>
          <w:sz w:val="26"/>
          <w:szCs w:val="26"/>
        </w:rPr>
        <w:t xml:space="preserve"> са </w:t>
      </w:r>
      <w:r w:rsidR="00782D9B" w:rsidRPr="009A715E">
        <w:rPr>
          <w:rFonts w:ascii="Times New Roman" w:hAnsi="Times New Roman" w:cs="Times New Roman"/>
          <w:sz w:val="26"/>
          <w:szCs w:val="26"/>
        </w:rPr>
        <w:t xml:space="preserve">съгласно удостоверение за ОАКП. </w:t>
      </w:r>
    </w:p>
    <w:p w14:paraId="10CAB858" w14:textId="023074A6" w:rsidR="00F32AE3" w:rsidRPr="009A715E" w:rsidRDefault="00A1592A" w:rsidP="00F32AE3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Разходи за </w:t>
      </w:r>
      <w:r w:rsidR="00F244E4" w:rsidRPr="009A715E">
        <w:rPr>
          <w:rFonts w:ascii="Times New Roman" w:hAnsi="Times New Roman" w:cs="Times New Roman"/>
          <w:b/>
          <w:sz w:val="26"/>
          <w:szCs w:val="26"/>
        </w:rPr>
        <w:t>емисии парникови газове</w:t>
      </w:r>
      <w:r w:rsidR="00F244E4" w:rsidRPr="009A715E">
        <w:rPr>
          <w:rFonts w:ascii="Times New Roman" w:hAnsi="Times New Roman" w:cs="Times New Roman"/>
          <w:sz w:val="26"/>
          <w:szCs w:val="26"/>
        </w:rPr>
        <w:t xml:space="preserve"> през ценови период 01.07.20</w:t>
      </w:r>
      <w:r w:rsidR="00066794">
        <w:rPr>
          <w:rFonts w:ascii="Times New Roman" w:hAnsi="Times New Roman" w:cs="Times New Roman"/>
          <w:sz w:val="26"/>
          <w:szCs w:val="26"/>
        </w:rPr>
        <w:t xml:space="preserve">25 </w:t>
      </w:r>
      <w:r w:rsidR="00F244E4" w:rsidRPr="009A715E">
        <w:rPr>
          <w:rFonts w:ascii="Times New Roman" w:hAnsi="Times New Roman" w:cs="Times New Roman"/>
          <w:sz w:val="26"/>
          <w:szCs w:val="26"/>
        </w:rPr>
        <w:t>г.- 30.06.20</w:t>
      </w:r>
      <w:r w:rsidR="009E61E0" w:rsidRPr="009A715E">
        <w:rPr>
          <w:rFonts w:ascii="Times New Roman" w:hAnsi="Times New Roman" w:cs="Times New Roman"/>
          <w:sz w:val="26"/>
          <w:szCs w:val="26"/>
        </w:rPr>
        <w:t>2</w:t>
      </w:r>
      <w:r w:rsidR="00066794">
        <w:rPr>
          <w:rFonts w:ascii="Times New Roman" w:hAnsi="Times New Roman" w:cs="Times New Roman"/>
          <w:sz w:val="26"/>
          <w:szCs w:val="26"/>
        </w:rPr>
        <w:t>6</w:t>
      </w:r>
      <w:r w:rsidR="00F244E4" w:rsidRPr="009A715E">
        <w:rPr>
          <w:rFonts w:ascii="Times New Roman" w:hAnsi="Times New Roman" w:cs="Times New Roman"/>
          <w:sz w:val="26"/>
          <w:szCs w:val="26"/>
        </w:rPr>
        <w:t>г</w:t>
      </w:r>
      <w:r w:rsidR="00F32AE3" w:rsidRPr="009A715E">
        <w:rPr>
          <w:rFonts w:ascii="Times New Roman" w:hAnsi="Times New Roman" w:cs="Times New Roman"/>
          <w:sz w:val="26"/>
          <w:szCs w:val="26"/>
        </w:rPr>
        <w:t>.</w:t>
      </w:r>
      <w:r w:rsidRPr="009A715E">
        <w:rPr>
          <w:rFonts w:ascii="Times New Roman" w:hAnsi="Times New Roman" w:cs="Times New Roman"/>
          <w:sz w:val="26"/>
          <w:szCs w:val="26"/>
        </w:rPr>
        <w:t>:</w:t>
      </w:r>
    </w:p>
    <w:p w14:paraId="43972C42" w14:textId="77777777" w:rsidR="00066794" w:rsidRPr="009A715E" w:rsidRDefault="00066794" w:rsidP="00066794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9A715E">
        <w:rPr>
          <w:rFonts w:ascii="Times New Roman" w:hAnsi="Times New Roman"/>
          <w:sz w:val="26"/>
          <w:szCs w:val="26"/>
        </w:rPr>
        <w:t>За 20</w:t>
      </w:r>
      <w:r w:rsidRPr="009A715E">
        <w:rPr>
          <w:rFonts w:ascii="Times New Roman" w:hAnsi="Times New Roman"/>
          <w:sz w:val="26"/>
          <w:szCs w:val="26"/>
          <w:lang w:val="en-US"/>
        </w:rPr>
        <w:t>2</w:t>
      </w:r>
      <w:r>
        <w:rPr>
          <w:rFonts w:ascii="Times New Roman" w:hAnsi="Times New Roman"/>
          <w:sz w:val="26"/>
          <w:szCs w:val="26"/>
        </w:rPr>
        <w:t>4</w:t>
      </w:r>
      <w:r w:rsidRPr="009A715E">
        <w:rPr>
          <w:rFonts w:ascii="Times New Roman" w:hAnsi="Times New Roman"/>
          <w:sz w:val="26"/>
          <w:szCs w:val="26"/>
        </w:rPr>
        <w:t xml:space="preserve"> г. безплатно разпределените квоти на емисии от въглероден диоксид за „Захарни Заводи“ АД бяха  </w:t>
      </w:r>
      <w:r>
        <w:rPr>
          <w:rFonts w:ascii="Times New Roman" w:hAnsi="Times New Roman"/>
          <w:sz w:val="26"/>
          <w:szCs w:val="26"/>
        </w:rPr>
        <w:t>24 959</w:t>
      </w:r>
      <w:r w:rsidRPr="009A715E">
        <w:rPr>
          <w:rFonts w:ascii="Times New Roman" w:hAnsi="Times New Roman"/>
          <w:sz w:val="26"/>
          <w:szCs w:val="26"/>
        </w:rPr>
        <w:t xml:space="preserve"> тона. Определени за ТЕЦ безплатни квоти  са </w:t>
      </w:r>
      <w:r>
        <w:rPr>
          <w:rFonts w:ascii="Times New Roman" w:hAnsi="Times New Roman"/>
          <w:sz w:val="26"/>
          <w:szCs w:val="26"/>
        </w:rPr>
        <w:t>15 873</w:t>
      </w:r>
      <w:r w:rsidRPr="009A715E">
        <w:rPr>
          <w:rFonts w:ascii="Times New Roman" w:hAnsi="Times New Roman"/>
          <w:sz w:val="26"/>
          <w:szCs w:val="26"/>
        </w:rPr>
        <w:t xml:space="preserve"> тона</w:t>
      </w:r>
      <w:r w:rsidRPr="009A715E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9A715E">
        <w:rPr>
          <w:rFonts w:ascii="Times New Roman" w:hAnsi="Times New Roman"/>
          <w:sz w:val="26"/>
          <w:szCs w:val="26"/>
        </w:rPr>
        <w:t xml:space="preserve">През </w:t>
      </w:r>
      <w:r w:rsidRPr="009A715E">
        <w:rPr>
          <w:rFonts w:ascii="Times New Roman" w:hAnsi="Times New Roman"/>
          <w:sz w:val="26"/>
          <w:szCs w:val="26"/>
          <w:lang w:val="en-US"/>
        </w:rPr>
        <w:t>20</w:t>
      </w:r>
      <w:r>
        <w:rPr>
          <w:rFonts w:ascii="Times New Roman" w:hAnsi="Times New Roman"/>
          <w:sz w:val="26"/>
          <w:szCs w:val="26"/>
        </w:rPr>
        <w:t>24</w:t>
      </w:r>
      <w:r w:rsidRPr="009A715E">
        <w:rPr>
          <w:rFonts w:ascii="Times New Roman" w:hAnsi="Times New Roman"/>
          <w:sz w:val="26"/>
          <w:szCs w:val="26"/>
        </w:rPr>
        <w:t xml:space="preserve"> година са изгорени </w:t>
      </w:r>
      <w:r>
        <w:rPr>
          <w:rFonts w:ascii="Times New Roman" w:hAnsi="Times New Roman"/>
          <w:sz w:val="26"/>
          <w:szCs w:val="26"/>
        </w:rPr>
        <w:t>8513,060</w:t>
      </w:r>
      <w:r w:rsidRPr="009A715E">
        <w:rPr>
          <w:rFonts w:ascii="Times New Roman" w:hAnsi="Times New Roman"/>
          <w:sz w:val="26"/>
          <w:szCs w:val="26"/>
        </w:rPr>
        <w:t xml:space="preserve"> т въглища </w:t>
      </w:r>
      <w:r>
        <w:rPr>
          <w:rFonts w:ascii="Times New Roman" w:hAnsi="Times New Roman"/>
          <w:sz w:val="26"/>
          <w:szCs w:val="26"/>
        </w:rPr>
        <w:t>31,973</w:t>
      </w:r>
      <w:r w:rsidRPr="009A715E">
        <w:rPr>
          <w:rFonts w:ascii="Times New Roman" w:hAnsi="Times New Roman"/>
          <w:w w:val="90"/>
          <w:sz w:val="26"/>
          <w:szCs w:val="26"/>
        </w:rPr>
        <w:t xml:space="preserve"> </w:t>
      </w:r>
      <w:r w:rsidRPr="009A715E">
        <w:rPr>
          <w:rFonts w:ascii="Times New Roman" w:hAnsi="Times New Roman"/>
          <w:sz w:val="26"/>
          <w:szCs w:val="26"/>
        </w:rPr>
        <w:t xml:space="preserve">х.н.куб.м. пр.газ., които емитират </w:t>
      </w:r>
      <w:r>
        <w:rPr>
          <w:rFonts w:ascii="Times New Roman" w:hAnsi="Times New Roman"/>
          <w:sz w:val="26"/>
          <w:szCs w:val="26"/>
        </w:rPr>
        <w:t>18 597</w:t>
      </w:r>
      <w:r w:rsidRPr="009A715E">
        <w:rPr>
          <w:rFonts w:ascii="Times New Roman" w:hAnsi="Times New Roman"/>
          <w:sz w:val="26"/>
          <w:szCs w:val="26"/>
        </w:rPr>
        <w:t xml:space="preserve"> т СО</w:t>
      </w:r>
      <w:r w:rsidRPr="009A715E">
        <w:rPr>
          <w:rFonts w:ascii="Times New Roman" w:hAnsi="Times New Roman"/>
          <w:sz w:val="26"/>
          <w:szCs w:val="26"/>
          <w:vertAlign w:val="subscript"/>
        </w:rPr>
        <w:t>2.</w:t>
      </w:r>
      <w:r w:rsidRPr="009A715E">
        <w:rPr>
          <w:rFonts w:ascii="Times New Roman" w:hAnsi="Times New Roman"/>
          <w:sz w:val="26"/>
          <w:szCs w:val="26"/>
        </w:rPr>
        <w:t xml:space="preserve"> Поради тази причина количествата квоти от въглеродни емисии за закупуване са </w:t>
      </w:r>
      <w:r>
        <w:rPr>
          <w:rFonts w:ascii="Times New Roman" w:hAnsi="Times New Roman"/>
          <w:sz w:val="26"/>
          <w:szCs w:val="26"/>
        </w:rPr>
        <w:t>2724</w:t>
      </w:r>
      <w:r w:rsidRPr="009A715E">
        <w:rPr>
          <w:rFonts w:ascii="Times New Roman" w:hAnsi="Times New Roman"/>
          <w:sz w:val="26"/>
          <w:szCs w:val="26"/>
        </w:rPr>
        <w:t xml:space="preserve"> тона. Средства</w:t>
      </w:r>
      <w:r w:rsidRPr="009A715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9A715E">
        <w:rPr>
          <w:rFonts w:ascii="Times New Roman" w:hAnsi="Times New Roman"/>
          <w:sz w:val="26"/>
          <w:szCs w:val="26"/>
        </w:rPr>
        <w:t xml:space="preserve"> за покупка на емисии за 20</w:t>
      </w:r>
      <w:r>
        <w:rPr>
          <w:rFonts w:ascii="Times New Roman" w:hAnsi="Times New Roman"/>
          <w:sz w:val="26"/>
          <w:szCs w:val="26"/>
        </w:rPr>
        <w:t>24</w:t>
      </w:r>
      <w:r w:rsidRPr="009A715E">
        <w:rPr>
          <w:rFonts w:ascii="Times New Roman" w:hAnsi="Times New Roman"/>
          <w:sz w:val="26"/>
          <w:szCs w:val="26"/>
        </w:rPr>
        <w:t xml:space="preserve"> г. са </w:t>
      </w:r>
      <w:r>
        <w:rPr>
          <w:rFonts w:ascii="Times New Roman" w:hAnsi="Times New Roman"/>
          <w:sz w:val="26"/>
          <w:szCs w:val="26"/>
        </w:rPr>
        <w:t>396</w:t>
      </w:r>
      <w:r w:rsidRPr="009A715E">
        <w:rPr>
          <w:rFonts w:ascii="Times New Roman" w:hAnsi="Times New Roman"/>
          <w:sz w:val="26"/>
          <w:szCs w:val="26"/>
        </w:rPr>
        <w:t xml:space="preserve"> х. лв. </w:t>
      </w:r>
    </w:p>
    <w:p w14:paraId="1989B818" w14:textId="77777777" w:rsidR="00066794" w:rsidRPr="009A715E" w:rsidRDefault="00066794" w:rsidP="00066794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sz w:val="26"/>
          <w:szCs w:val="26"/>
        </w:rPr>
        <w:t>За ценовия период 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- 202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е предвидено да бъдат изгорени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9A715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 5</w:t>
      </w:r>
      <w:r>
        <w:rPr>
          <w:rFonts w:ascii="Times New Roman" w:hAnsi="Times New Roman" w:cs="Times New Roman"/>
          <w:bCs/>
          <w:sz w:val="26"/>
          <w:szCs w:val="26"/>
        </w:rPr>
        <w:t xml:space="preserve"> 390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тона въглища и 20 х.н.куб.м.пр.газ. Тези горива ще емитират общо        </w:t>
      </w:r>
      <w:r>
        <w:rPr>
          <w:rFonts w:ascii="Times New Roman" w:hAnsi="Times New Roman" w:cs="Times New Roman"/>
          <w:bCs/>
          <w:sz w:val="26"/>
          <w:szCs w:val="26"/>
        </w:rPr>
        <w:t>11 284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тона емисии от въглероден диоксид. Те са изчислени по формуляра за докладване на годишни емисии от операторите на инсталации. При определянето са  използвани емисионен фактор и фактор на окисление от верифицирания доклад на „Захарни заводи“ АД за 202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г. За 202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г безплатно разпределените квоти за „ТЕЦ Г.Оряховица“ ЕАД  са </w:t>
      </w:r>
      <w:r>
        <w:rPr>
          <w:rFonts w:ascii="Times New Roman" w:hAnsi="Times New Roman" w:cs="Times New Roman"/>
          <w:bCs/>
          <w:sz w:val="26"/>
          <w:szCs w:val="26"/>
        </w:rPr>
        <w:t>8462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тона от квотите на „Захарни заводи“ АД.  Остават за закупуване </w:t>
      </w:r>
      <w:r>
        <w:rPr>
          <w:rFonts w:ascii="Times New Roman" w:hAnsi="Times New Roman" w:cs="Times New Roman"/>
          <w:bCs/>
          <w:sz w:val="26"/>
          <w:szCs w:val="26"/>
        </w:rPr>
        <w:t>2821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тона.</w:t>
      </w:r>
      <w:r w:rsidRPr="009A715E">
        <w:rPr>
          <w:rFonts w:ascii="Times New Roman" w:hAnsi="Times New Roman" w:cs="Times New Roman"/>
          <w:sz w:val="26"/>
          <w:szCs w:val="26"/>
        </w:rPr>
        <w:t xml:space="preserve"> Средната цена за период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–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е определена на</w:t>
      </w:r>
      <w:r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74,34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евро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. Поради тази причина за необходимите количества недостигащи квоти е заложена сума за закупуване       </w:t>
      </w:r>
      <w:r>
        <w:rPr>
          <w:rFonts w:ascii="Times New Roman" w:hAnsi="Times New Roman" w:cs="Times New Roman"/>
          <w:bCs/>
          <w:sz w:val="26"/>
          <w:szCs w:val="26"/>
        </w:rPr>
        <w:t>410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хил. лв.</w:t>
      </w:r>
    </w:p>
    <w:p w14:paraId="7F91512D" w14:textId="77777777" w:rsidR="002234FE" w:rsidRPr="009A715E" w:rsidRDefault="002234FE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04E43645" w14:textId="77777777" w:rsidR="002234FE" w:rsidRPr="009A715E" w:rsidRDefault="002234FE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5ED67A96" w14:textId="6CAA33F7" w:rsidR="00A1592A" w:rsidRPr="009A715E" w:rsidRDefault="00A1592A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1. Преференциална цена на електрическата енергия (без ДДС) – </w:t>
      </w:r>
      <w:r w:rsidR="00213E92">
        <w:rPr>
          <w:rFonts w:ascii="Times New Roman" w:hAnsi="Times New Roman" w:cs="Times New Roman"/>
          <w:b/>
          <w:sz w:val="26"/>
          <w:szCs w:val="26"/>
        </w:rPr>
        <w:t>359,05</w:t>
      </w:r>
      <w:r w:rsidR="00AE0DD7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b/>
          <w:sz w:val="26"/>
          <w:szCs w:val="26"/>
        </w:rPr>
        <w:t>лв./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MWh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</w:rPr>
        <w:t xml:space="preserve">, в т.ч.: </w:t>
      </w:r>
    </w:p>
    <w:p w14:paraId="0A8B54CB" w14:textId="6EBDA881" w:rsidR="00E0368D" w:rsidRPr="009A715E" w:rsidRDefault="00A1592A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Еднокомпонентна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</w:rPr>
        <w:t xml:space="preserve"> цена на топлинната енергия с топлоносител пара (без ДДС) –  </w:t>
      </w:r>
      <w:r w:rsidR="00213E92">
        <w:rPr>
          <w:rFonts w:ascii="Times New Roman" w:hAnsi="Times New Roman" w:cs="Times New Roman"/>
          <w:b/>
          <w:sz w:val="26"/>
          <w:szCs w:val="26"/>
        </w:rPr>
        <w:t>137,18</w:t>
      </w:r>
      <w:r w:rsidR="009D7007" w:rsidRPr="009A715E">
        <w:rPr>
          <w:rFonts w:ascii="Times New Roman" w:hAnsi="Times New Roman" w:cs="Times New Roman"/>
          <w:b/>
          <w:sz w:val="26"/>
          <w:szCs w:val="26"/>
        </w:rPr>
        <w:t xml:space="preserve"> лв</w:t>
      </w:r>
      <w:r w:rsidRPr="009A715E">
        <w:rPr>
          <w:rFonts w:ascii="Times New Roman" w:hAnsi="Times New Roman" w:cs="Times New Roman"/>
          <w:b/>
          <w:sz w:val="26"/>
          <w:szCs w:val="26"/>
        </w:rPr>
        <w:t>./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MWh</w:t>
      </w:r>
      <w:proofErr w:type="spellEnd"/>
    </w:p>
    <w:p w14:paraId="1E40B80E" w14:textId="77777777" w:rsidR="00A1592A" w:rsidRPr="009A715E" w:rsidRDefault="00A1592A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3. Ценообразуващи елементи на цените по т. 1 и т. 2:</w:t>
      </w:r>
    </w:p>
    <w:p w14:paraId="33E1AF6D" w14:textId="0E71F423" w:rsidR="00A1592A" w:rsidRPr="009A715E" w:rsidRDefault="003B1D28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3.1. 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>Необходими годишни приходи –</w:t>
      </w:r>
      <w:r w:rsidR="00213E92">
        <w:rPr>
          <w:rFonts w:ascii="Times New Roman" w:hAnsi="Times New Roman" w:cs="Times New Roman"/>
          <w:b/>
          <w:sz w:val="26"/>
          <w:szCs w:val="26"/>
        </w:rPr>
        <w:t>5610</w:t>
      </w:r>
      <w:r w:rsidR="000F7DE3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хил. лв., в т. ч.: </w:t>
      </w:r>
    </w:p>
    <w:p w14:paraId="7413C73B" w14:textId="4C8F13DA" w:rsidR="003B1D28" w:rsidRPr="009A715E" w:rsidRDefault="00A1592A" w:rsidP="003B1D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Разходи – </w:t>
      </w:r>
      <w:r w:rsidR="00213E92">
        <w:rPr>
          <w:rFonts w:ascii="Times New Roman" w:hAnsi="Times New Roman" w:cs="Times New Roman"/>
          <w:b/>
          <w:sz w:val="26"/>
          <w:szCs w:val="26"/>
        </w:rPr>
        <w:t>5285</w:t>
      </w:r>
      <w:r w:rsidR="00C86879" w:rsidRPr="009A715E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9A715E">
        <w:rPr>
          <w:rFonts w:ascii="Times New Roman" w:hAnsi="Times New Roman" w:cs="Times New Roman"/>
          <w:b/>
          <w:sz w:val="26"/>
          <w:szCs w:val="26"/>
        </w:rPr>
        <w:t xml:space="preserve">хил. лв., от които условно-постоянни – </w:t>
      </w:r>
      <w:r w:rsidR="00213E92">
        <w:rPr>
          <w:rFonts w:ascii="Times New Roman" w:hAnsi="Times New Roman" w:cs="Times New Roman"/>
          <w:b/>
          <w:sz w:val="26"/>
          <w:szCs w:val="26"/>
        </w:rPr>
        <w:t>2670</w:t>
      </w:r>
      <w:r w:rsidRPr="009A715E">
        <w:rPr>
          <w:rFonts w:ascii="Times New Roman" w:hAnsi="Times New Roman" w:cs="Times New Roman"/>
          <w:b/>
          <w:sz w:val="26"/>
          <w:szCs w:val="26"/>
        </w:rPr>
        <w:t xml:space="preserve"> хил. лв. и променливи – </w:t>
      </w:r>
      <w:r w:rsidR="00213E92">
        <w:rPr>
          <w:rFonts w:ascii="Times New Roman" w:hAnsi="Times New Roman" w:cs="Times New Roman"/>
          <w:b/>
          <w:sz w:val="26"/>
          <w:szCs w:val="26"/>
        </w:rPr>
        <w:t>2615</w:t>
      </w:r>
      <w:r w:rsidR="00614A2D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b/>
          <w:sz w:val="26"/>
          <w:szCs w:val="26"/>
        </w:rPr>
        <w:t xml:space="preserve">хил. лв. </w:t>
      </w:r>
    </w:p>
    <w:p w14:paraId="35CF0C15" w14:textId="284A9494" w:rsidR="003B1D28" w:rsidRPr="009A715E" w:rsidRDefault="00A1592A" w:rsidP="003B1D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Регулаторна база на активите – </w:t>
      </w:r>
      <w:r w:rsidR="00213E92">
        <w:rPr>
          <w:rFonts w:ascii="Times New Roman" w:hAnsi="Times New Roman" w:cs="Times New Roman"/>
          <w:b/>
          <w:sz w:val="26"/>
          <w:szCs w:val="26"/>
        </w:rPr>
        <w:t>5622</w:t>
      </w:r>
      <w:r w:rsidR="009D7007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b/>
          <w:sz w:val="26"/>
          <w:szCs w:val="26"/>
        </w:rPr>
        <w:t xml:space="preserve">хил. лв. </w:t>
      </w:r>
    </w:p>
    <w:p w14:paraId="630F5FF6" w14:textId="4632DC92" w:rsidR="003B1D28" w:rsidRPr="009A715E" w:rsidRDefault="00FF6E11" w:rsidP="003B1D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Норма на възвръщаемост – </w:t>
      </w:r>
      <w:r w:rsidR="00213E92">
        <w:rPr>
          <w:rFonts w:ascii="Times New Roman" w:hAnsi="Times New Roman" w:cs="Times New Roman"/>
          <w:b/>
          <w:sz w:val="26"/>
          <w:szCs w:val="26"/>
        </w:rPr>
        <w:t>5,20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% </w:t>
      </w:r>
    </w:p>
    <w:p w14:paraId="5FE15481" w14:textId="7B35268A" w:rsidR="003B1D28" w:rsidRPr="009A715E" w:rsidRDefault="003B1D28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3.2. </w:t>
      </w:r>
      <w:r w:rsidR="008262EC" w:rsidRPr="009A715E">
        <w:rPr>
          <w:rFonts w:ascii="Times New Roman" w:hAnsi="Times New Roman" w:cs="Times New Roman"/>
          <w:b/>
          <w:sz w:val="26"/>
          <w:szCs w:val="26"/>
        </w:rPr>
        <w:t>Високоефективна е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>лектрическа енергия</w:t>
      </w:r>
      <w:r w:rsidR="008262EC" w:rsidRPr="009A715E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8262EC" w:rsidRPr="009A715E">
        <w:rPr>
          <w:rFonts w:ascii="Times New Roman" w:hAnsi="Times New Roman" w:cs="Times New Roman"/>
          <w:b/>
          <w:sz w:val="26"/>
          <w:szCs w:val="26"/>
        </w:rPr>
        <w:t>за реализация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="007514FB" w:rsidRPr="009A715E">
        <w:rPr>
          <w:rFonts w:ascii="Times New Roman" w:hAnsi="Times New Roman" w:cs="Times New Roman"/>
          <w:b/>
          <w:sz w:val="26"/>
          <w:szCs w:val="26"/>
        </w:rPr>
        <w:t xml:space="preserve">2635 </w:t>
      </w:r>
      <w:proofErr w:type="spellStart"/>
      <w:r w:rsidR="00A1592A" w:rsidRPr="009A715E">
        <w:rPr>
          <w:rFonts w:ascii="Times New Roman" w:hAnsi="Times New Roman" w:cs="Times New Roman"/>
          <w:b/>
          <w:sz w:val="26"/>
          <w:szCs w:val="26"/>
        </w:rPr>
        <w:t>MWh</w:t>
      </w:r>
      <w:proofErr w:type="spellEnd"/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, в т. ч.: </w:t>
      </w:r>
    </w:p>
    <w:p w14:paraId="6273C788" w14:textId="48F8AC2A" w:rsidR="003B1D28" w:rsidRPr="009A715E" w:rsidRDefault="008262EC" w:rsidP="003B1D2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От високоефективно производство към </w:t>
      </w:r>
      <w:r w:rsidR="007A0814" w:rsidRPr="009A715E">
        <w:rPr>
          <w:rFonts w:ascii="Times New Roman" w:hAnsi="Times New Roman" w:cs="Times New Roman"/>
          <w:b/>
          <w:sz w:val="26"/>
          <w:szCs w:val="26"/>
        </w:rPr>
        <w:t xml:space="preserve">свободен пазар 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>–</w:t>
      </w:r>
      <w:r w:rsidR="007514FB" w:rsidRPr="009A715E">
        <w:rPr>
          <w:rFonts w:ascii="Times New Roman" w:hAnsi="Times New Roman" w:cs="Times New Roman"/>
          <w:b/>
          <w:sz w:val="26"/>
          <w:szCs w:val="26"/>
        </w:rPr>
        <w:t>500</w:t>
      </w:r>
      <w:r w:rsidR="003956BD" w:rsidRPr="009A715E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="00A1592A" w:rsidRPr="009A715E">
        <w:rPr>
          <w:rFonts w:ascii="Times New Roman" w:hAnsi="Times New Roman" w:cs="Times New Roman"/>
          <w:b/>
          <w:sz w:val="26"/>
          <w:szCs w:val="26"/>
        </w:rPr>
        <w:t>MWh</w:t>
      </w:r>
      <w:proofErr w:type="spellEnd"/>
    </w:p>
    <w:p w14:paraId="0EBA911D" w14:textId="00A997A5" w:rsidR="003B1D28" w:rsidRPr="009A715E" w:rsidRDefault="008262EC" w:rsidP="003B1D2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От високоефективно производство </w:t>
      </w:r>
      <w:r w:rsidR="003B1D28" w:rsidRPr="009A715E">
        <w:rPr>
          <w:rFonts w:ascii="Times New Roman" w:hAnsi="Times New Roman" w:cs="Times New Roman"/>
          <w:b/>
          <w:sz w:val="26"/>
          <w:szCs w:val="26"/>
        </w:rPr>
        <w:t xml:space="preserve">за собствено потребление – </w:t>
      </w:r>
      <w:r w:rsidR="00E87AB6" w:rsidRPr="009A715E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514FB" w:rsidRPr="009A715E">
        <w:rPr>
          <w:rFonts w:ascii="Times New Roman" w:hAnsi="Times New Roman" w:cs="Times New Roman"/>
          <w:b/>
          <w:sz w:val="26"/>
          <w:szCs w:val="26"/>
        </w:rPr>
        <w:t>2135</w:t>
      </w:r>
      <w:r w:rsidR="00E87AB6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E6291" w:rsidRPr="009A715E">
        <w:rPr>
          <w:rFonts w:ascii="Times New Roman" w:hAnsi="Times New Roman" w:cs="Times New Roman"/>
          <w:b/>
          <w:sz w:val="26"/>
          <w:szCs w:val="26"/>
        </w:rPr>
        <w:t>MWh</w:t>
      </w:r>
      <w:proofErr w:type="spellEnd"/>
      <w:r w:rsidR="00DE6291" w:rsidRPr="009A715E">
        <w:rPr>
          <w:rFonts w:ascii="Times New Roman" w:hAnsi="Times New Roman" w:cs="Times New Roman"/>
          <w:b/>
          <w:sz w:val="26"/>
          <w:szCs w:val="26"/>
        </w:rPr>
        <w:t>.</w:t>
      </w:r>
    </w:p>
    <w:p w14:paraId="265DBDCF" w14:textId="66557BC3" w:rsidR="00DE6291" w:rsidRPr="009A715E" w:rsidRDefault="003B1D28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>3.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3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Топлинна енергия с топлоносител пара </w:t>
      </w:r>
      <w:r w:rsidR="007514FB" w:rsidRPr="009A715E">
        <w:rPr>
          <w:rFonts w:ascii="Times New Roman" w:hAnsi="Times New Roman" w:cs="Times New Roman"/>
          <w:b/>
          <w:sz w:val="26"/>
          <w:szCs w:val="26"/>
        </w:rPr>
        <w:t>34 000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1592A" w:rsidRPr="009A715E">
        <w:rPr>
          <w:rFonts w:ascii="Times New Roman" w:hAnsi="Times New Roman" w:cs="Times New Roman"/>
          <w:b/>
          <w:sz w:val="26"/>
          <w:szCs w:val="26"/>
        </w:rPr>
        <w:t>MWh</w:t>
      </w:r>
      <w:proofErr w:type="spellEnd"/>
      <w:r w:rsidR="00DE6291" w:rsidRPr="009A715E">
        <w:rPr>
          <w:rFonts w:ascii="Times New Roman" w:hAnsi="Times New Roman" w:cs="Times New Roman"/>
          <w:b/>
          <w:sz w:val="26"/>
          <w:szCs w:val="26"/>
        </w:rPr>
        <w:t>.</w:t>
      </w:r>
      <w:r w:rsidR="00A1592A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547717B" w14:textId="6A72B20D" w:rsidR="00DE6291" w:rsidRPr="009A715E" w:rsidRDefault="00A1592A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Цена на природен газ на „Овергаз мрежи“ АД – </w:t>
      </w:r>
      <w:r w:rsidR="00213E92">
        <w:rPr>
          <w:rFonts w:ascii="Times New Roman" w:hAnsi="Times New Roman" w:cs="Times New Roman"/>
          <w:b/>
          <w:sz w:val="26"/>
          <w:szCs w:val="26"/>
        </w:rPr>
        <w:t>1202,30</w:t>
      </w:r>
      <w:r w:rsidR="0099178A" w:rsidRPr="009A71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663E2" w:rsidRPr="009A715E">
        <w:rPr>
          <w:rFonts w:ascii="Times New Roman" w:hAnsi="Times New Roman" w:cs="Times New Roman"/>
          <w:b/>
          <w:sz w:val="26"/>
          <w:szCs w:val="26"/>
        </w:rPr>
        <w:t>лв./хнм</w:t>
      </w:r>
      <w:r w:rsidRPr="009A715E">
        <w:rPr>
          <w:rFonts w:ascii="Times New Roman" w:hAnsi="Times New Roman" w:cs="Times New Roman"/>
          <w:b/>
          <w:sz w:val="26"/>
          <w:szCs w:val="26"/>
          <w:vertAlign w:val="superscript"/>
        </w:rPr>
        <w:t>3</w:t>
      </w:r>
      <w:r w:rsidR="00DE6291" w:rsidRPr="009A715E">
        <w:rPr>
          <w:rFonts w:ascii="Times New Roman" w:hAnsi="Times New Roman" w:cs="Times New Roman"/>
          <w:b/>
          <w:sz w:val="26"/>
          <w:szCs w:val="26"/>
        </w:rPr>
        <w:t>.</w:t>
      </w:r>
    </w:p>
    <w:p w14:paraId="50D9803B" w14:textId="69F426B4" w:rsidR="00A1592A" w:rsidRPr="009A715E" w:rsidRDefault="00A1592A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 xml:space="preserve"> Цена на въглища – </w:t>
      </w:r>
      <w:r w:rsidR="00213E92">
        <w:rPr>
          <w:rFonts w:ascii="Times New Roman" w:hAnsi="Times New Roman" w:cs="Times New Roman"/>
          <w:b/>
          <w:sz w:val="26"/>
          <w:szCs w:val="26"/>
        </w:rPr>
        <w:t>206,60</w:t>
      </w:r>
      <w:r w:rsidRPr="009A715E">
        <w:rPr>
          <w:rFonts w:ascii="Times New Roman" w:hAnsi="Times New Roman" w:cs="Times New Roman"/>
          <w:b/>
          <w:sz w:val="26"/>
          <w:szCs w:val="26"/>
        </w:rPr>
        <w:t xml:space="preserve"> лв./t при калоричност </w:t>
      </w:r>
      <w:r w:rsidR="00DE6291" w:rsidRPr="009A715E">
        <w:rPr>
          <w:rFonts w:ascii="Times New Roman" w:hAnsi="Times New Roman" w:cs="Times New Roman"/>
          <w:b/>
          <w:sz w:val="26"/>
          <w:szCs w:val="26"/>
        </w:rPr>
        <w:t>5</w:t>
      </w:r>
      <w:r w:rsidR="00213E92">
        <w:rPr>
          <w:rFonts w:ascii="Times New Roman" w:hAnsi="Times New Roman" w:cs="Times New Roman"/>
          <w:b/>
          <w:sz w:val="26"/>
          <w:szCs w:val="26"/>
        </w:rPr>
        <w:t> </w:t>
      </w:r>
      <w:r w:rsidR="00E87AB6" w:rsidRPr="009A715E">
        <w:rPr>
          <w:rFonts w:ascii="Times New Roman" w:hAnsi="Times New Roman" w:cs="Times New Roman"/>
          <w:b/>
          <w:sz w:val="26"/>
          <w:szCs w:val="26"/>
        </w:rPr>
        <w:t>3</w:t>
      </w:r>
      <w:r w:rsidR="00213E92">
        <w:rPr>
          <w:rFonts w:ascii="Times New Roman" w:hAnsi="Times New Roman" w:cs="Times New Roman"/>
          <w:b/>
          <w:sz w:val="26"/>
          <w:szCs w:val="26"/>
        </w:rPr>
        <w:t xml:space="preserve">00 </w:t>
      </w:r>
      <w:bookmarkStart w:id="0" w:name="_GoBack"/>
      <w:bookmarkEnd w:id="0"/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kcal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</w:rPr>
        <w:t>/</w:t>
      </w:r>
      <w:proofErr w:type="spellStart"/>
      <w:r w:rsidRPr="009A715E">
        <w:rPr>
          <w:rFonts w:ascii="Times New Roman" w:hAnsi="Times New Roman" w:cs="Times New Roman"/>
          <w:b/>
          <w:sz w:val="26"/>
          <w:szCs w:val="26"/>
        </w:rPr>
        <w:t>kg</w:t>
      </w:r>
      <w:proofErr w:type="spellEnd"/>
      <w:r w:rsidRPr="009A715E">
        <w:rPr>
          <w:rFonts w:ascii="Times New Roman" w:hAnsi="Times New Roman" w:cs="Times New Roman"/>
          <w:b/>
          <w:sz w:val="26"/>
          <w:szCs w:val="26"/>
        </w:rPr>
        <w:t>.</w:t>
      </w:r>
    </w:p>
    <w:p w14:paraId="43193DB6" w14:textId="77777777" w:rsidR="00A1592A" w:rsidRPr="009A715E" w:rsidRDefault="00A1592A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6146A2" w14:textId="77777777" w:rsidR="00D13F28" w:rsidRPr="009A715E" w:rsidRDefault="00D13F28" w:rsidP="003B1D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0DF94AF" w14:textId="77777777" w:rsidR="000E5C1F" w:rsidRPr="009A715E" w:rsidRDefault="00D13F28" w:rsidP="003B1D2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ab/>
      </w:r>
      <w:r w:rsidRPr="009A715E">
        <w:rPr>
          <w:rFonts w:ascii="Times New Roman" w:hAnsi="Times New Roman" w:cs="Times New Roman"/>
          <w:b/>
          <w:sz w:val="26"/>
          <w:szCs w:val="26"/>
        </w:rPr>
        <w:tab/>
      </w:r>
    </w:p>
    <w:p w14:paraId="5C57E3A0" w14:textId="77777777" w:rsidR="00D13F28" w:rsidRPr="009A715E" w:rsidRDefault="00D13F28" w:rsidP="003B1D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A715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9A715E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9A715E">
        <w:rPr>
          <w:rFonts w:ascii="Times New Roman" w:hAnsi="Times New Roman" w:cs="Times New Roman"/>
          <w:sz w:val="26"/>
          <w:szCs w:val="26"/>
        </w:rPr>
        <w:t>. директор……………</w:t>
      </w:r>
    </w:p>
    <w:p w14:paraId="32C45A1A" w14:textId="19768E07" w:rsidR="00D13F28" w:rsidRPr="00E501B7" w:rsidRDefault="00D13F28" w:rsidP="003B1D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sz w:val="26"/>
          <w:szCs w:val="26"/>
        </w:rPr>
        <w:t xml:space="preserve">(инж. </w:t>
      </w:r>
      <w:r w:rsidR="007A0814" w:rsidRPr="009A715E">
        <w:rPr>
          <w:rFonts w:ascii="Times New Roman" w:hAnsi="Times New Roman" w:cs="Times New Roman"/>
          <w:sz w:val="26"/>
          <w:szCs w:val="26"/>
        </w:rPr>
        <w:t>Анатолий Ботов</w:t>
      </w:r>
      <w:r w:rsidRPr="009A715E">
        <w:rPr>
          <w:rFonts w:ascii="Times New Roman" w:hAnsi="Times New Roman" w:cs="Times New Roman"/>
          <w:sz w:val="26"/>
          <w:szCs w:val="26"/>
        </w:rPr>
        <w:t>)</w:t>
      </w:r>
    </w:p>
    <w:sectPr w:rsidR="00D13F28" w:rsidRPr="00E501B7" w:rsidSect="00261973">
      <w:pgSz w:w="11906" w:h="16838"/>
      <w:pgMar w:top="719" w:right="1133" w:bottom="719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188A"/>
    <w:multiLevelType w:val="multilevel"/>
    <w:tmpl w:val="1A4C389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">
    <w:nsid w:val="10FE0C7D"/>
    <w:multiLevelType w:val="hybridMultilevel"/>
    <w:tmpl w:val="A568F778"/>
    <w:lvl w:ilvl="0" w:tplc="BF9C33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A7CDD"/>
    <w:multiLevelType w:val="hybridMultilevel"/>
    <w:tmpl w:val="77FA55D4"/>
    <w:lvl w:ilvl="0" w:tplc="6FF453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3BA5D26"/>
    <w:multiLevelType w:val="multilevel"/>
    <w:tmpl w:val="F0F0E13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62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7BF037D"/>
    <w:multiLevelType w:val="hybridMultilevel"/>
    <w:tmpl w:val="43C2D2E0"/>
    <w:lvl w:ilvl="0" w:tplc="2C3442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37D98"/>
    <w:multiLevelType w:val="hybridMultilevel"/>
    <w:tmpl w:val="51AEE398"/>
    <w:lvl w:ilvl="0" w:tplc="E320EE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A2CB7"/>
    <w:multiLevelType w:val="hybridMultilevel"/>
    <w:tmpl w:val="A92CA956"/>
    <w:lvl w:ilvl="0" w:tplc="63482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C0E10"/>
    <w:multiLevelType w:val="hybridMultilevel"/>
    <w:tmpl w:val="7122B6B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CC6478"/>
    <w:multiLevelType w:val="hybridMultilevel"/>
    <w:tmpl w:val="3C367486"/>
    <w:lvl w:ilvl="0" w:tplc="BF9C33B4">
      <w:start w:val="1"/>
      <w:numFmt w:val="bullet"/>
      <w:lvlText w:val="-"/>
      <w:lvlJc w:val="left"/>
      <w:pPr>
        <w:ind w:left="360" w:hanging="360"/>
      </w:pPr>
      <w:rPr>
        <w:rFonts w:ascii="Sitka Small" w:hAnsi="Sitka Smal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304CE9"/>
    <w:multiLevelType w:val="hybridMultilevel"/>
    <w:tmpl w:val="3C48FB64"/>
    <w:lvl w:ilvl="0" w:tplc="040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450318"/>
    <w:multiLevelType w:val="multilevel"/>
    <w:tmpl w:val="DE82A5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9CF1DDC"/>
    <w:multiLevelType w:val="hybridMultilevel"/>
    <w:tmpl w:val="861ECEEE"/>
    <w:lvl w:ilvl="0" w:tplc="0402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12">
    <w:nsid w:val="5CAC77FD"/>
    <w:multiLevelType w:val="multilevel"/>
    <w:tmpl w:val="FC6E95E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EEE0B9C"/>
    <w:multiLevelType w:val="hybridMultilevel"/>
    <w:tmpl w:val="A2AA00C8"/>
    <w:lvl w:ilvl="0" w:tplc="272E5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63D5A"/>
    <w:multiLevelType w:val="hybridMultilevel"/>
    <w:tmpl w:val="3A3A0F04"/>
    <w:lvl w:ilvl="0" w:tplc="00B8E8CA">
      <w:start w:val="1"/>
      <w:numFmt w:val="decimal"/>
      <w:lvlText w:val="%1."/>
      <w:lvlJc w:val="left"/>
      <w:pPr>
        <w:ind w:left="720" w:hanging="360"/>
      </w:pPr>
      <w:rPr>
        <w:w w:val="90"/>
        <w:sz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EE4195"/>
    <w:multiLevelType w:val="multilevel"/>
    <w:tmpl w:val="A80083DA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cs="Symbol" w:hint="default"/>
      </w:rPr>
    </w:lvl>
    <w:lvl w:ilvl="1">
      <w:start w:val="5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6">
    <w:nsid w:val="71800637"/>
    <w:multiLevelType w:val="hybridMultilevel"/>
    <w:tmpl w:val="F78EC8F2"/>
    <w:lvl w:ilvl="0" w:tplc="00563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4681A"/>
    <w:multiLevelType w:val="hybridMultilevel"/>
    <w:tmpl w:val="8AA2D490"/>
    <w:lvl w:ilvl="0" w:tplc="04020001">
      <w:start w:val="1"/>
      <w:numFmt w:val="bullet"/>
      <w:lvlText w:val=""/>
      <w:lvlJc w:val="left"/>
      <w:pPr>
        <w:ind w:left="1095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3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5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9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1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55" w:hanging="360"/>
      </w:pPr>
      <w:rPr>
        <w:rFonts w:ascii="Wingdings" w:hAnsi="Wingdings" w:cs="Wingdings" w:hint="default"/>
      </w:rPr>
    </w:lvl>
  </w:abstractNum>
  <w:abstractNum w:abstractNumId="18">
    <w:nsid w:val="7E8A423F"/>
    <w:multiLevelType w:val="hybridMultilevel"/>
    <w:tmpl w:val="5EBCBB4E"/>
    <w:lvl w:ilvl="0" w:tplc="BF9C33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5"/>
  </w:num>
  <w:num w:numId="5">
    <w:abstractNumId w:val="17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8"/>
  </w:num>
  <w:num w:numId="15">
    <w:abstractNumId w:val="18"/>
  </w:num>
  <w:num w:numId="16">
    <w:abstractNumId w:val="1"/>
  </w:num>
  <w:num w:numId="17">
    <w:abstractNumId w:val="13"/>
  </w:num>
  <w:num w:numId="18">
    <w:abstractNumId w:val="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67"/>
    <w:rsid w:val="00025DBF"/>
    <w:rsid w:val="00032389"/>
    <w:rsid w:val="000348DB"/>
    <w:rsid w:val="00046DDB"/>
    <w:rsid w:val="0005785E"/>
    <w:rsid w:val="000640FC"/>
    <w:rsid w:val="00065869"/>
    <w:rsid w:val="00066794"/>
    <w:rsid w:val="00090864"/>
    <w:rsid w:val="000A037D"/>
    <w:rsid w:val="000A0AB1"/>
    <w:rsid w:val="000B37CF"/>
    <w:rsid w:val="000B73FF"/>
    <w:rsid w:val="000C58A1"/>
    <w:rsid w:val="000D663B"/>
    <w:rsid w:val="000E5C1F"/>
    <w:rsid w:val="000F3A4B"/>
    <w:rsid w:val="000F7DE3"/>
    <w:rsid w:val="001006CE"/>
    <w:rsid w:val="00104A31"/>
    <w:rsid w:val="00104C24"/>
    <w:rsid w:val="00112005"/>
    <w:rsid w:val="00114370"/>
    <w:rsid w:val="001162F8"/>
    <w:rsid w:val="001210D0"/>
    <w:rsid w:val="001223FB"/>
    <w:rsid w:val="00152F15"/>
    <w:rsid w:val="00155A86"/>
    <w:rsid w:val="00156DD7"/>
    <w:rsid w:val="00162210"/>
    <w:rsid w:val="001709C5"/>
    <w:rsid w:val="001735D3"/>
    <w:rsid w:val="00175741"/>
    <w:rsid w:val="001C754D"/>
    <w:rsid w:val="001D0A79"/>
    <w:rsid w:val="001D7885"/>
    <w:rsid w:val="001E2043"/>
    <w:rsid w:val="00213E92"/>
    <w:rsid w:val="00222250"/>
    <w:rsid w:val="002234FE"/>
    <w:rsid w:val="002473C6"/>
    <w:rsid w:val="00251D6B"/>
    <w:rsid w:val="002539C2"/>
    <w:rsid w:val="00256C05"/>
    <w:rsid w:val="00261973"/>
    <w:rsid w:val="00271373"/>
    <w:rsid w:val="00285799"/>
    <w:rsid w:val="0029342C"/>
    <w:rsid w:val="002940DA"/>
    <w:rsid w:val="002A2ADC"/>
    <w:rsid w:val="002B08E5"/>
    <w:rsid w:val="002B30EB"/>
    <w:rsid w:val="002C1B2C"/>
    <w:rsid w:val="002D579C"/>
    <w:rsid w:val="002E3C56"/>
    <w:rsid w:val="002F4A34"/>
    <w:rsid w:val="002F5C62"/>
    <w:rsid w:val="00305FA5"/>
    <w:rsid w:val="003063BB"/>
    <w:rsid w:val="00310A5D"/>
    <w:rsid w:val="003226D6"/>
    <w:rsid w:val="0032754B"/>
    <w:rsid w:val="003300C4"/>
    <w:rsid w:val="003305B4"/>
    <w:rsid w:val="00366E51"/>
    <w:rsid w:val="00373BAF"/>
    <w:rsid w:val="00381760"/>
    <w:rsid w:val="003956BD"/>
    <w:rsid w:val="003959F7"/>
    <w:rsid w:val="003B1D28"/>
    <w:rsid w:val="003D49A2"/>
    <w:rsid w:val="0040124D"/>
    <w:rsid w:val="00401927"/>
    <w:rsid w:val="00401D4D"/>
    <w:rsid w:val="004058A1"/>
    <w:rsid w:val="00426C65"/>
    <w:rsid w:val="00431A74"/>
    <w:rsid w:val="004516ED"/>
    <w:rsid w:val="0047346A"/>
    <w:rsid w:val="004932EE"/>
    <w:rsid w:val="00495629"/>
    <w:rsid w:val="004A43CD"/>
    <w:rsid w:val="004A4E16"/>
    <w:rsid w:val="004C646F"/>
    <w:rsid w:val="004E28E6"/>
    <w:rsid w:val="004F676E"/>
    <w:rsid w:val="005138A7"/>
    <w:rsid w:val="00515C8F"/>
    <w:rsid w:val="0052159B"/>
    <w:rsid w:val="00560643"/>
    <w:rsid w:val="005725C1"/>
    <w:rsid w:val="00585D12"/>
    <w:rsid w:val="005902E2"/>
    <w:rsid w:val="00614A2D"/>
    <w:rsid w:val="0061747B"/>
    <w:rsid w:val="00617C53"/>
    <w:rsid w:val="0062226C"/>
    <w:rsid w:val="0064559B"/>
    <w:rsid w:val="0065156A"/>
    <w:rsid w:val="00651656"/>
    <w:rsid w:val="006576D3"/>
    <w:rsid w:val="00661190"/>
    <w:rsid w:val="0067570A"/>
    <w:rsid w:val="00676005"/>
    <w:rsid w:val="00691BE5"/>
    <w:rsid w:val="006A0FF5"/>
    <w:rsid w:val="006B132D"/>
    <w:rsid w:val="006C5AF1"/>
    <w:rsid w:val="006C5D66"/>
    <w:rsid w:val="006D79F6"/>
    <w:rsid w:val="006E49E4"/>
    <w:rsid w:val="006F213A"/>
    <w:rsid w:val="006F31D3"/>
    <w:rsid w:val="00713E83"/>
    <w:rsid w:val="007162B0"/>
    <w:rsid w:val="00731AFA"/>
    <w:rsid w:val="00750F7C"/>
    <w:rsid w:val="007514FB"/>
    <w:rsid w:val="00752003"/>
    <w:rsid w:val="00773488"/>
    <w:rsid w:val="0078298E"/>
    <w:rsid w:val="00782D9B"/>
    <w:rsid w:val="007830D9"/>
    <w:rsid w:val="00797C0A"/>
    <w:rsid w:val="007A0814"/>
    <w:rsid w:val="007B7D26"/>
    <w:rsid w:val="007D6C37"/>
    <w:rsid w:val="00814516"/>
    <w:rsid w:val="0081713F"/>
    <w:rsid w:val="008262EC"/>
    <w:rsid w:val="0083062F"/>
    <w:rsid w:val="00846148"/>
    <w:rsid w:val="0084656D"/>
    <w:rsid w:val="00854874"/>
    <w:rsid w:val="0086270C"/>
    <w:rsid w:val="00863BBD"/>
    <w:rsid w:val="008846F9"/>
    <w:rsid w:val="00894DBB"/>
    <w:rsid w:val="008A3C88"/>
    <w:rsid w:val="008B2033"/>
    <w:rsid w:val="009144FA"/>
    <w:rsid w:val="009377D1"/>
    <w:rsid w:val="009434D2"/>
    <w:rsid w:val="00953A79"/>
    <w:rsid w:val="009663E2"/>
    <w:rsid w:val="00982EFF"/>
    <w:rsid w:val="009847D2"/>
    <w:rsid w:val="00991169"/>
    <w:rsid w:val="0099178A"/>
    <w:rsid w:val="00992F62"/>
    <w:rsid w:val="00993B30"/>
    <w:rsid w:val="009970AD"/>
    <w:rsid w:val="009A51E6"/>
    <w:rsid w:val="009A715E"/>
    <w:rsid w:val="009B092D"/>
    <w:rsid w:val="009B210C"/>
    <w:rsid w:val="009B4E5C"/>
    <w:rsid w:val="009D0677"/>
    <w:rsid w:val="009D0B7A"/>
    <w:rsid w:val="009D7007"/>
    <w:rsid w:val="009E61E0"/>
    <w:rsid w:val="009F2E56"/>
    <w:rsid w:val="00A0157E"/>
    <w:rsid w:val="00A043D2"/>
    <w:rsid w:val="00A1592A"/>
    <w:rsid w:val="00A2328E"/>
    <w:rsid w:val="00A24766"/>
    <w:rsid w:val="00A2740B"/>
    <w:rsid w:val="00A40B38"/>
    <w:rsid w:val="00A43E43"/>
    <w:rsid w:val="00A56DA7"/>
    <w:rsid w:val="00A85BCE"/>
    <w:rsid w:val="00A865EC"/>
    <w:rsid w:val="00A87EC9"/>
    <w:rsid w:val="00AB3BEE"/>
    <w:rsid w:val="00AB4C2F"/>
    <w:rsid w:val="00AC4272"/>
    <w:rsid w:val="00AC7E6D"/>
    <w:rsid w:val="00AD335F"/>
    <w:rsid w:val="00AE0DD7"/>
    <w:rsid w:val="00B057AA"/>
    <w:rsid w:val="00B1360A"/>
    <w:rsid w:val="00B23631"/>
    <w:rsid w:val="00B31ED3"/>
    <w:rsid w:val="00B46A07"/>
    <w:rsid w:val="00B518C8"/>
    <w:rsid w:val="00B55949"/>
    <w:rsid w:val="00B7508E"/>
    <w:rsid w:val="00B80B61"/>
    <w:rsid w:val="00B8266F"/>
    <w:rsid w:val="00B877C5"/>
    <w:rsid w:val="00BD79D6"/>
    <w:rsid w:val="00BE611E"/>
    <w:rsid w:val="00BF53F4"/>
    <w:rsid w:val="00BF76CE"/>
    <w:rsid w:val="00C2437E"/>
    <w:rsid w:val="00C26949"/>
    <w:rsid w:val="00C31AD7"/>
    <w:rsid w:val="00C57167"/>
    <w:rsid w:val="00C86879"/>
    <w:rsid w:val="00C96D55"/>
    <w:rsid w:val="00CA7EF1"/>
    <w:rsid w:val="00CB08FC"/>
    <w:rsid w:val="00CB34A7"/>
    <w:rsid w:val="00CB3D7E"/>
    <w:rsid w:val="00CB54F2"/>
    <w:rsid w:val="00CD23BE"/>
    <w:rsid w:val="00CF73C9"/>
    <w:rsid w:val="00D04BCA"/>
    <w:rsid w:val="00D13F28"/>
    <w:rsid w:val="00D32A0E"/>
    <w:rsid w:val="00D3342C"/>
    <w:rsid w:val="00D40EA0"/>
    <w:rsid w:val="00D54514"/>
    <w:rsid w:val="00D60EC5"/>
    <w:rsid w:val="00D64913"/>
    <w:rsid w:val="00D67E8F"/>
    <w:rsid w:val="00D76BAE"/>
    <w:rsid w:val="00D82736"/>
    <w:rsid w:val="00D842BD"/>
    <w:rsid w:val="00D931B9"/>
    <w:rsid w:val="00DA0C9A"/>
    <w:rsid w:val="00DB028C"/>
    <w:rsid w:val="00DC649C"/>
    <w:rsid w:val="00DE3D2F"/>
    <w:rsid w:val="00DE6291"/>
    <w:rsid w:val="00DF2FC3"/>
    <w:rsid w:val="00DF6E1F"/>
    <w:rsid w:val="00DF780B"/>
    <w:rsid w:val="00E0368D"/>
    <w:rsid w:val="00E15B48"/>
    <w:rsid w:val="00E17A46"/>
    <w:rsid w:val="00E21752"/>
    <w:rsid w:val="00E21ECB"/>
    <w:rsid w:val="00E226E7"/>
    <w:rsid w:val="00E26067"/>
    <w:rsid w:val="00E262D3"/>
    <w:rsid w:val="00E419EB"/>
    <w:rsid w:val="00E41C56"/>
    <w:rsid w:val="00E501B7"/>
    <w:rsid w:val="00E517A4"/>
    <w:rsid w:val="00E53C94"/>
    <w:rsid w:val="00E6428E"/>
    <w:rsid w:val="00E7404D"/>
    <w:rsid w:val="00E87AB6"/>
    <w:rsid w:val="00E91F9C"/>
    <w:rsid w:val="00EC6A49"/>
    <w:rsid w:val="00EC78B8"/>
    <w:rsid w:val="00ED5F6E"/>
    <w:rsid w:val="00EE078A"/>
    <w:rsid w:val="00F0108C"/>
    <w:rsid w:val="00F0382F"/>
    <w:rsid w:val="00F204D4"/>
    <w:rsid w:val="00F244E4"/>
    <w:rsid w:val="00F32AE3"/>
    <w:rsid w:val="00F34448"/>
    <w:rsid w:val="00F351BB"/>
    <w:rsid w:val="00F421D2"/>
    <w:rsid w:val="00F463F5"/>
    <w:rsid w:val="00F613CD"/>
    <w:rsid w:val="00F6293D"/>
    <w:rsid w:val="00F66E48"/>
    <w:rsid w:val="00F70330"/>
    <w:rsid w:val="00F74264"/>
    <w:rsid w:val="00F77BE3"/>
    <w:rsid w:val="00F877D6"/>
    <w:rsid w:val="00FB7627"/>
    <w:rsid w:val="00FD0C70"/>
    <w:rsid w:val="00FD4DA8"/>
    <w:rsid w:val="00FF2713"/>
    <w:rsid w:val="00FF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45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6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067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01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40124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CB3D7E"/>
  </w:style>
  <w:style w:type="character" w:styleId="a6">
    <w:name w:val="Strong"/>
    <w:basedOn w:val="a0"/>
    <w:uiPriority w:val="22"/>
    <w:qFormat/>
    <w:rsid w:val="000D663B"/>
    <w:rPr>
      <w:b/>
      <w:bCs/>
    </w:rPr>
  </w:style>
  <w:style w:type="table" w:styleId="a7">
    <w:name w:val="Table Grid"/>
    <w:basedOn w:val="a1"/>
    <w:uiPriority w:val="59"/>
    <w:unhideWhenUsed/>
    <w:rsid w:val="00E21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6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067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01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40124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CB3D7E"/>
  </w:style>
  <w:style w:type="character" w:styleId="a6">
    <w:name w:val="Strong"/>
    <w:basedOn w:val="a0"/>
    <w:uiPriority w:val="22"/>
    <w:qFormat/>
    <w:rsid w:val="000D663B"/>
    <w:rPr>
      <w:b/>
      <w:bCs/>
    </w:rPr>
  </w:style>
  <w:style w:type="table" w:styleId="a7">
    <w:name w:val="Table Grid"/>
    <w:basedOn w:val="a1"/>
    <w:uiPriority w:val="59"/>
    <w:unhideWhenUsed/>
    <w:rsid w:val="00E21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ddd</Company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Невянка Добрева</cp:lastModifiedBy>
  <cp:revision>112</cp:revision>
  <cp:lastPrinted>2024-03-26T09:00:00Z</cp:lastPrinted>
  <dcterms:created xsi:type="dcterms:W3CDTF">2016-03-29T13:11:00Z</dcterms:created>
  <dcterms:modified xsi:type="dcterms:W3CDTF">2025-03-25T14:10:00Z</dcterms:modified>
</cp:coreProperties>
</file>