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61"/>
        <w:tblW w:w="100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56"/>
        <w:gridCol w:w="935"/>
        <w:gridCol w:w="268"/>
        <w:gridCol w:w="667"/>
        <w:gridCol w:w="540"/>
        <w:gridCol w:w="395"/>
        <w:gridCol w:w="881"/>
        <w:gridCol w:w="54"/>
        <w:gridCol w:w="654"/>
        <w:gridCol w:w="281"/>
        <w:gridCol w:w="935"/>
        <w:gridCol w:w="663"/>
        <w:gridCol w:w="33"/>
        <w:gridCol w:w="239"/>
        <w:gridCol w:w="935"/>
        <w:gridCol w:w="175"/>
        <w:gridCol w:w="160"/>
      </w:tblGrid>
      <w:tr w:rsidR="003352B0" w:rsidRPr="00A34BD6" w:rsidTr="003352B0">
        <w:trPr>
          <w:gridAfter w:val="16"/>
          <w:wAfter w:w="7815" w:type="dxa"/>
          <w:trHeight w:val="30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2B0" w:rsidRPr="00A34BD6" w:rsidRDefault="003352B0" w:rsidP="00722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„ТЕЦ Горна Оряховица“ЕАД</w:t>
            </w:r>
          </w:p>
        </w:tc>
      </w:tr>
      <w:tr w:rsidR="003352B0" w:rsidRPr="00A34BD6" w:rsidTr="003352B0">
        <w:trPr>
          <w:gridAfter w:val="2"/>
          <w:wAfter w:w="335" w:type="dxa"/>
          <w:trHeight w:val="30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gridSpan w:val="2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gridSpan w:val="3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35" w:type="dxa"/>
            <w:vAlign w:val="bottom"/>
          </w:tcPr>
          <w:p w:rsidR="003352B0" w:rsidRPr="00A34BD6" w:rsidRDefault="003352B0" w:rsidP="0033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Справка 7</w:t>
            </w:r>
          </w:p>
        </w:tc>
      </w:tr>
      <w:tr w:rsidR="003352B0" w:rsidRPr="00A34BD6" w:rsidTr="003352B0">
        <w:trPr>
          <w:trHeight w:val="375"/>
        </w:trPr>
        <w:tc>
          <w:tcPr>
            <w:tcW w:w="100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6" w:rsidRDefault="002267E6" w:rsidP="00226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</w:pPr>
          </w:p>
          <w:p w:rsidR="003352B0" w:rsidRDefault="003352B0" w:rsidP="00E2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bg-BG"/>
              </w:rPr>
              <w:t xml:space="preserve"> </w:t>
            </w:r>
            <w:r w:rsidRPr="00FD1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Движение на емисии парникови газове-отчет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и  прогноза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bg-BG"/>
              </w:rPr>
              <w:t>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-202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>6</w:t>
            </w:r>
            <w:r w:rsidRPr="00FD1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  <w:t xml:space="preserve"> г.</w:t>
            </w:r>
          </w:p>
          <w:p w:rsidR="002267E6" w:rsidRPr="00FD1325" w:rsidRDefault="002267E6" w:rsidP="00E2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bg-BG"/>
              </w:rPr>
            </w:pPr>
          </w:p>
        </w:tc>
      </w:tr>
      <w:tr w:rsidR="003352B0" w:rsidRPr="00A34BD6" w:rsidTr="007E3306">
        <w:trPr>
          <w:gridAfter w:val="1"/>
          <w:wAfter w:w="160" w:type="dxa"/>
          <w:trHeight w:val="315"/>
        </w:trPr>
        <w:tc>
          <w:tcPr>
            <w:tcW w:w="4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52B0" w:rsidRPr="00A34BD6" w:rsidRDefault="007E3306" w:rsidP="007E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Отчет </w:t>
            </w:r>
            <w:r w:rsidR="003352B0" w:rsidRPr="00A34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20</w:t>
            </w:r>
            <w:r w:rsidR="00335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4</w:t>
            </w:r>
            <w:r w:rsidR="003352B0" w:rsidRPr="00A34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5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2B0" w:rsidRPr="005E69DB" w:rsidRDefault="003352B0" w:rsidP="007E19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Прогноза ценови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-202</w:t>
            </w:r>
            <w:r w:rsidR="007E1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3352B0" w:rsidRPr="00A34BD6" w:rsidTr="004F325B">
        <w:trPr>
          <w:gridAfter w:val="1"/>
          <w:wAfter w:w="160" w:type="dxa"/>
          <w:trHeight w:val="674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2B0" w:rsidRPr="00A34BD6" w:rsidRDefault="003352B0" w:rsidP="007E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Емисии, т</w:t>
            </w: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  <w:r w:rsidR="007E1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Сума,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х.</w:t>
            </w: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лв.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Емисии, тона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Default="003352B0" w:rsidP="007E3306">
            <w:pPr>
              <w:spacing w:after="0" w:line="240" w:lineRule="auto"/>
              <w:ind w:left="213" w:right="-353" w:hanging="2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Прогноза,</w:t>
            </w:r>
          </w:p>
          <w:p w:rsidR="003352B0" w:rsidRPr="00810919" w:rsidRDefault="003352B0" w:rsidP="007E3306">
            <w:pPr>
              <w:spacing w:after="0" w:line="240" w:lineRule="auto"/>
              <w:ind w:left="213" w:right="-353" w:hanging="2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т.СО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bg-BG"/>
              </w:rPr>
              <w:t>2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Сума,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х.</w:t>
            </w: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лв.</w:t>
            </w:r>
          </w:p>
        </w:tc>
      </w:tr>
      <w:tr w:rsidR="003352B0" w:rsidRPr="00A34BD6" w:rsidTr="004F325B">
        <w:trPr>
          <w:gridAfter w:val="1"/>
          <w:wAfter w:w="160" w:type="dxa"/>
          <w:trHeight w:val="315"/>
        </w:trPr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"ТЕЦ Г.Оряховица" ЕАД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7E1996" w:rsidP="00BF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18 597</w:t>
            </w:r>
            <w:r w:rsidR="00335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"ТЕЦ Г.Оряховица" ЕАД</w:t>
            </w: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1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352B0" w:rsidRPr="00A34BD6" w:rsidRDefault="007E1996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11 284</w:t>
            </w:r>
            <w:r w:rsidR="00335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52B0" w:rsidRPr="00A34BD6" w:rsidTr="004F325B">
        <w:trPr>
          <w:gridAfter w:val="1"/>
          <w:wAfter w:w="160" w:type="dxa"/>
          <w:trHeight w:val="80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E21216" w:rsidRDefault="003352B0" w:rsidP="00E2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1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4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3352B0" w:rsidRPr="00A34BD6" w:rsidTr="004F325B">
        <w:trPr>
          <w:gridAfter w:val="1"/>
          <w:wAfter w:w="160" w:type="dxa"/>
          <w:trHeight w:val="177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Безплатни квоти за "ТЕЦ Горна Оряховица"ЕАД от квотите на "Захарни заводи"АД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7E1996" w:rsidP="00C1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15 873</w:t>
            </w:r>
            <w:r w:rsidR="00335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Безплатни квоти за "ТЕЦ Горна Оряховица"ЕАД от квотите на "Захарни заводи"АД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Default="007E1996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8462</w:t>
            </w:r>
            <w:r w:rsidR="006C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335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</w:t>
            </w:r>
          </w:p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52B0" w:rsidRPr="00A34BD6" w:rsidTr="004F325B">
        <w:trPr>
          <w:gridAfter w:val="1"/>
          <w:wAfter w:w="160" w:type="dxa"/>
          <w:trHeight w:val="3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Закупени квоти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2B0" w:rsidRPr="00A34BD6" w:rsidRDefault="007E1996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2 724 </w:t>
            </w:r>
            <w:r w:rsidR="00335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2B0" w:rsidRPr="007E1996" w:rsidRDefault="007E1996" w:rsidP="00C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396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3352B0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4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Закупени квоти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A34BD6" w:rsidRDefault="007E1996" w:rsidP="007E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2821</w:t>
            </w:r>
            <w:r w:rsidR="00335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т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2B0" w:rsidRPr="007E1996" w:rsidRDefault="007E1996" w:rsidP="00C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410</w:t>
            </w:r>
          </w:p>
        </w:tc>
      </w:tr>
    </w:tbl>
    <w:p w:rsidR="00FD1325" w:rsidRDefault="00FD1325" w:rsidP="0096251C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</w:p>
    <w:p w:rsidR="006C250A" w:rsidRPr="009A715E" w:rsidRDefault="006C250A" w:rsidP="006C250A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9A715E">
        <w:rPr>
          <w:rFonts w:ascii="Times New Roman" w:hAnsi="Times New Roman"/>
          <w:sz w:val="26"/>
          <w:szCs w:val="26"/>
        </w:rPr>
        <w:t>За 20</w:t>
      </w:r>
      <w:r w:rsidRPr="009A715E">
        <w:rPr>
          <w:rFonts w:ascii="Times New Roman" w:hAnsi="Times New Roman"/>
          <w:sz w:val="26"/>
          <w:szCs w:val="26"/>
          <w:lang w:val="en-US"/>
        </w:rPr>
        <w:t>2</w:t>
      </w:r>
      <w:r w:rsidR="007E1996">
        <w:rPr>
          <w:rFonts w:ascii="Times New Roman" w:hAnsi="Times New Roman"/>
          <w:sz w:val="26"/>
          <w:szCs w:val="26"/>
        </w:rPr>
        <w:t>4</w:t>
      </w:r>
      <w:r w:rsidRPr="009A715E">
        <w:rPr>
          <w:rFonts w:ascii="Times New Roman" w:hAnsi="Times New Roman"/>
          <w:sz w:val="26"/>
          <w:szCs w:val="26"/>
        </w:rPr>
        <w:t xml:space="preserve"> г. безплатно разпределените квоти на емисии от въглероден диоксид за „Захарни Заводи“ АД бяха  </w:t>
      </w:r>
      <w:r w:rsidR="007E1996">
        <w:rPr>
          <w:rFonts w:ascii="Times New Roman" w:hAnsi="Times New Roman"/>
          <w:sz w:val="26"/>
          <w:szCs w:val="26"/>
        </w:rPr>
        <w:t>24 959</w:t>
      </w:r>
      <w:r w:rsidRPr="009A715E">
        <w:rPr>
          <w:rFonts w:ascii="Times New Roman" w:hAnsi="Times New Roman"/>
          <w:sz w:val="26"/>
          <w:szCs w:val="26"/>
        </w:rPr>
        <w:t xml:space="preserve"> тона. Определени за ТЕЦ безплатни квоти  са </w:t>
      </w:r>
      <w:r w:rsidR="007E1996">
        <w:rPr>
          <w:rFonts w:ascii="Times New Roman" w:hAnsi="Times New Roman"/>
          <w:sz w:val="26"/>
          <w:szCs w:val="26"/>
        </w:rPr>
        <w:t>15 873</w:t>
      </w:r>
      <w:r w:rsidRPr="009A715E">
        <w:rPr>
          <w:rFonts w:ascii="Times New Roman" w:hAnsi="Times New Roman"/>
          <w:sz w:val="26"/>
          <w:szCs w:val="26"/>
        </w:rPr>
        <w:t xml:space="preserve"> тона</w:t>
      </w:r>
      <w:r w:rsidRPr="009A715E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9A715E">
        <w:rPr>
          <w:rFonts w:ascii="Times New Roman" w:hAnsi="Times New Roman"/>
          <w:sz w:val="26"/>
          <w:szCs w:val="26"/>
        </w:rPr>
        <w:t xml:space="preserve">През </w:t>
      </w:r>
      <w:r w:rsidRPr="009A715E">
        <w:rPr>
          <w:rFonts w:ascii="Times New Roman" w:hAnsi="Times New Roman"/>
          <w:sz w:val="26"/>
          <w:szCs w:val="26"/>
          <w:lang w:val="en-US"/>
        </w:rPr>
        <w:t>20</w:t>
      </w:r>
      <w:r w:rsidR="007E1996">
        <w:rPr>
          <w:rFonts w:ascii="Times New Roman" w:hAnsi="Times New Roman"/>
          <w:sz w:val="26"/>
          <w:szCs w:val="26"/>
        </w:rPr>
        <w:t>24</w:t>
      </w:r>
      <w:r w:rsidRPr="009A715E">
        <w:rPr>
          <w:rFonts w:ascii="Times New Roman" w:hAnsi="Times New Roman"/>
          <w:sz w:val="26"/>
          <w:szCs w:val="26"/>
        </w:rPr>
        <w:t xml:space="preserve"> година са изгорени </w:t>
      </w:r>
      <w:r w:rsidR="007E1996">
        <w:rPr>
          <w:rFonts w:ascii="Times New Roman" w:hAnsi="Times New Roman"/>
          <w:sz w:val="26"/>
          <w:szCs w:val="26"/>
        </w:rPr>
        <w:t>8513,060</w:t>
      </w:r>
      <w:r w:rsidRPr="009A715E">
        <w:rPr>
          <w:rFonts w:ascii="Times New Roman" w:hAnsi="Times New Roman"/>
          <w:sz w:val="26"/>
          <w:szCs w:val="26"/>
        </w:rPr>
        <w:t xml:space="preserve"> т въглища </w:t>
      </w:r>
      <w:r w:rsidR="007E1996">
        <w:rPr>
          <w:rFonts w:ascii="Times New Roman" w:hAnsi="Times New Roman"/>
          <w:sz w:val="26"/>
          <w:szCs w:val="26"/>
        </w:rPr>
        <w:t>31,973</w:t>
      </w:r>
      <w:r w:rsidRPr="009A715E">
        <w:rPr>
          <w:rFonts w:ascii="Times New Roman" w:hAnsi="Times New Roman"/>
          <w:w w:val="90"/>
          <w:sz w:val="26"/>
          <w:szCs w:val="26"/>
        </w:rPr>
        <w:t xml:space="preserve"> </w:t>
      </w:r>
      <w:r w:rsidRPr="009A715E">
        <w:rPr>
          <w:rFonts w:ascii="Times New Roman" w:hAnsi="Times New Roman"/>
          <w:sz w:val="26"/>
          <w:szCs w:val="26"/>
        </w:rPr>
        <w:t xml:space="preserve">х.н.куб.м. пр.газ., които емитират </w:t>
      </w:r>
      <w:r w:rsidR="007E1996">
        <w:rPr>
          <w:rFonts w:ascii="Times New Roman" w:hAnsi="Times New Roman"/>
          <w:sz w:val="26"/>
          <w:szCs w:val="26"/>
        </w:rPr>
        <w:t>18 597</w:t>
      </w:r>
      <w:r w:rsidRPr="009A715E">
        <w:rPr>
          <w:rFonts w:ascii="Times New Roman" w:hAnsi="Times New Roman"/>
          <w:sz w:val="26"/>
          <w:szCs w:val="26"/>
        </w:rPr>
        <w:t xml:space="preserve"> т СО</w:t>
      </w:r>
      <w:r w:rsidRPr="009A715E">
        <w:rPr>
          <w:rFonts w:ascii="Times New Roman" w:hAnsi="Times New Roman"/>
          <w:sz w:val="26"/>
          <w:szCs w:val="26"/>
          <w:vertAlign w:val="subscript"/>
        </w:rPr>
        <w:t>2.</w:t>
      </w:r>
      <w:r w:rsidRPr="009A715E">
        <w:rPr>
          <w:rFonts w:ascii="Times New Roman" w:hAnsi="Times New Roman"/>
          <w:sz w:val="26"/>
          <w:szCs w:val="26"/>
        </w:rPr>
        <w:t xml:space="preserve"> Поради тази причина количествата квоти от въглеродни емисии за закупуване са </w:t>
      </w:r>
      <w:r w:rsidR="007E1996">
        <w:rPr>
          <w:rFonts w:ascii="Times New Roman" w:hAnsi="Times New Roman"/>
          <w:sz w:val="26"/>
          <w:szCs w:val="26"/>
        </w:rPr>
        <w:t>2724</w:t>
      </w:r>
      <w:r w:rsidRPr="009A715E">
        <w:rPr>
          <w:rFonts w:ascii="Times New Roman" w:hAnsi="Times New Roman"/>
          <w:sz w:val="26"/>
          <w:szCs w:val="26"/>
        </w:rPr>
        <w:t xml:space="preserve"> тона. Средства</w:t>
      </w:r>
      <w:r w:rsidRPr="009A715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9A715E">
        <w:rPr>
          <w:rFonts w:ascii="Times New Roman" w:hAnsi="Times New Roman"/>
          <w:sz w:val="26"/>
          <w:szCs w:val="26"/>
        </w:rPr>
        <w:t xml:space="preserve"> за покупка на емисии за 20</w:t>
      </w:r>
      <w:r w:rsidR="007E1996">
        <w:rPr>
          <w:rFonts w:ascii="Times New Roman" w:hAnsi="Times New Roman"/>
          <w:sz w:val="26"/>
          <w:szCs w:val="26"/>
        </w:rPr>
        <w:t>24</w:t>
      </w:r>
      <w:r w:rsidRPr="009A715E">
        <w:rPr>
          <w:rFonts w:ascii="Times New Roman" w:hAnsi="Times New Roman"/>
          <w:sz w:val="26"/>
          <w:szCs w:val="26"/>
        </w:rPr>
        <w:t xml:space="preserve"> г. са </w:t>
      </w:r>
      <w:r w:rsidR="007E1996">
        <w:rPr>
          <w:rFonts w:ascii="Times New Roman" w:hAnsi="Times New Roman"/>
          <w:sz w:val="26"/>
          <w:szCs w:val="26"/>
        </w:rPr>
        <w:t>396</w:t>
      </w:r>
      <w:r w:rsidRPr="009A715E">
        <w:rPr>
          <w:rFonts w:ascii="Times New Roman" w:hAnsi="Times New Roman"/>
          <w:sz w:val="26"/>
          <w:szCs w:val="26"/>
        </w:rPr>
        <w:t xml:space="preserve"> х. лв. </w:t>
      </w:r>
    </w:p>
    <w:p w:rsidR="006C250A" w:rsidRPr="009A715E" w:rsidRDefault="006C250A" w:rsidP="006C250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9A715E">
        <w:rPr>
          <w:rFonts w:ascii="Times New Roman" w:hAnsi="Times New Roman" w:cs="Times New Roman"/>
          <w:sz w:val="26"/>
          <w:szCs w:val="26"/>
        </w:rPr>
        <w:t>За ценовия период  202</w:t>
      </w:r>
      <w:r w:rsidR="007E1996">
        <w:rPr>
          <w:rFonts w:ascii="Times New Roman" w:hAnsi="Times New Roman" w:cs="Times New Roman"/>
          <w:sz w:val="26"/>
          <w:szCs w:val="26"/>
        </w:rPr>
        <w:t>5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- 202</w:t>
      </w:r>
      <w:r w:rsidR="007E1996"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е предвидено да бъдат изгорени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A715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9A715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 5</w:t>
      </w:r>
      <w:r w:rsidR="007E1996">
        <w:rPr>
          <w:rFonts w:ascii="Times New Roman" w:hAnsi="Times New Roman" w:cs="Times New Roman"/>
          <w:bCs/>
          <w:sz w:val="26"/>
          <w:szCs w:val="26"/>
        </w:rPr>
        <w:t xml:space="preserve"> 390 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тона въглища и 20 х.н.куб.м.пр.газ. Тези горива ще емитират общо        </w:t>
      </w:r>
      <w:r w:rsidR="007E1996">
        <w:rPr>
          <w:rFonts w:ascii="Times New Roman" w:hAnsi="Times New Roman" w:cs="Times New Roman"/>
          <w:bCs/>
          <w:sz w:val="26"/>
          <w:szCs w:val="26"/>
        </w:rPr>
        <w:t>11 284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тона емисии от въглероден диоксид. Те са изчислени по формуляра за докладване на годишни емисии от операторите на инсталации. При определянето са  използвани емисионен фактор и фактор на окисление от верифицирания доклад на „Захарни заводи“ АД за 202</w:t>
      </w:r>
      <w:r w:rsidR="007E1996">
        <w:rPr>
          <w:rFonts w:ascii="Times New Roman" w:hAnsi="Times New Roman" w:cs="Times New Roman"/>
          <w:bCs/>
          <w:sz w:val="26"/>
          <w:szCs w:val="26"/>
        </w:rPr>
        <w:t>4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г. За 202</w:t>
      </w:r>
      <w:r w:rsidR="007E1996">
        <w:rPr>
          <w:rFonts w:ascii="Times New Roman" w:hAnsi="Times New Roman" w:cs="Times New Roman"/>
          <w:bCs/>
          <w:sz w:val="26"/>
          <w:szCs w:val="26"/>
        </w:rPr>
        <w:t>5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г безплатно разпределените квоти за „ТЕЦ Г.Оряховица“ ЕАД  са </w:t>
      </w:r>
      <w:r w:rsidR="007E1996">
        <w:rPr>
          <w:rFonts w:ascii="Times New Roman" w:hAnsi="Times New Roman" w:cs="Times New Roman"/>
          <w:bCs/>
          <w:sz w:val="26"/>
          <w:szCs w:val="26"/>
        </w:rPr>
        <w:t>8462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тона от квотите на „Захарни заводи“ АД.  Остават за закупуване </w:t>
      </w:r>
      <w:r w:rsidR="007E1996">
        <w:rPr>
          <w:rFonts w:ascii="Times New Roman" w:hAnsi="Times New Roman" w:cs="Times New Roman"/>
          <w:bCs/>
          <w:sz w:val="26"/>
          <w:szCs w:val="26"/>
        </w:rPr>
        <w:t>2821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тона.</w:t>
      </w:r>
      <w:r w:rsidRPr="009A715E">
        <w:rPr>
          <w:rFonts w:ascii="Times New Roman" w:hAnsi="Times New Roman" w:cs="Times New Roman"/>
          <w:sz w:val="26"/>
          <w:szCs w:val="26"/>
        </w:rPr>
        <w:t xml:space="preserve"> Средната цена за период 202</w:t>
      </w:r>
      <w:r w:rsidR="007E1996">
        <w:rPr>
          <w:rFonts w:ascii="Times New Roman" w:hAnsi="Times New Roman" w:cs="Times New Roman"/>
          <w:sz w:val="26"/>
          <w:szCs w:val="26"/>
        </w:rPr>
        <w:t>5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– 202</w:t>
      </w:r>
      <w:r w:rsidR="007E1996">
        <w:rPr>
          <w:rFonts w:ascii="Times New Roman" w:hAnsi="Times New Roman" w:cs="Times New Roman"/>
          <w:sz w:val="26"/>
          <w:szCs w:val="26"/>
        </w:rPr>
        <w:t>6</w:t>
      </w:r>
      <w:r w:rsidRPr="009A715E">
        <w:rPr>
          <w:rFonts w:ascii="Times New Roman" w:hAnsi="Times New Roman" w:cs="Times New Roman"/>
          <w:sz w:val="26"/>
          <w:szCs w:val="26"/>
        </w:rPr>
        <w:t xml:space="preserve"> г. е определена на</w:t>
      </w:r>
      <w:r w:rsidRPr="009A715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E1996">
        <w:rPr>
          <w:rFonts w:ascii="Times New Roman" w:hAnsi="Times New Roman" w:cs="Times New Roman"/>
          <w:sz w:val="26"/>
          <w:szCs w:val="26"/>
        </w:rPr>
        <w:t>74,34</w:t>
      </w:r>
      <w:r w:rsidRPr="009A715E">
        <w:rPr>
          <w:rFonts w:ascii="Times New Roman" w:hAnsi="Times New Roman" w:cs="Times New Roman"/>
          <w:sz w:val="26"/>
          <w:szCs w:val="26"/>
        </w:rPr>
        <w:t xml:space="preserve"> евро</w:t>
      </w:r>
      <w:r w:rsidRPr="009A715E">
        <w:rPr>
          <w:rFonts w:ascii="Times New Roman" w:hAnsi="Times New Roman" w:cs="Times New Roman"/>
          <w:bCs/>
          <w:sz w:val="26"/>
          <w:szCs w:val="26"/>
        </w:rPr>
        <w:t xml:space="preserve">. Поради тази причина за необходимите количества недостигащи квоти е заложена сума за закупуване       </w:t>
      </w:r>
      <w:r w:rsidR="007E1996">
        <w:rPr>
          <w:rFonts w:ascii="Times New Roman" w:hAnsi="Times New Roman" w:cs="Times New Roman"/>
          <w:bCs/>
          <w:sz w:val="26"/>
          <w:szCs w:val="26"/>
        </w:rPr>
        <w:t>410</w:t>
      </w:r>
      <w:bookmarkStart w:id="0" w:name="_GoBack"/>
      <w:bookmarkEnd w:id="0"/>
      <w:r w:rsidRPr="009A715E">
        <w:rPr>
          <w:rFonts w:ascii="Times New Roman" w:hAnsi="Times New Roman" w:cs="Times New Roman"/>
          <w:bCs/>
          <w:sz w:val="26"/>
          <w:szCs w:val="26"/>
        </w:rPr>
        <w:t xml:space="preserve"> хил. лв.</w:t>
      </w:r>
    </w:p>
    <w:p w:rsidR="00034936" w:rsidRPr="0096251C" w:rsidRDefault="00034936" w:rsidP="003352B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34BD6" w:rsidRPr="0096251C" w:rsidRDefault="00A34BD6" w:rsidP="003352B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96251C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96251C">
        <w:rPr>
          <w:rFonts w:ascii="Times New Roman" w:hAnsi="Times New Roman" w:cs="Times New Roman"/>
          <w:sz w:val="26"/>
          <w:szCs w:val="26"/>
        </w:rPr>
        <w:t>. директор……………….</w:t>
      </w:r>
    </w:p>
    <w:p w:rsidR="00A34BD6" w:rsidRPr="0096251C" w:rsidRDefault="00A34BD6" w:rsidP="003352B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251C">
        <w:rPr>
          <w:rFonts w:ascii="Times New Roman" w:hAnsi="Times New Roman" w:cs="Times New Roman"/>
          <w:sz w:val="26"/>
          <w:szCs w:val="26"/>
        </w:rPr>
        <w:t>/</w:t>
      </w:r>
      <w:r w:rsidR="00BF1A6E">
        <w:rPr>
          <w:rFonts w:ascii="Times New Roman" w:hAnsi="Times New Roman" w:cs="Times New Roman"/>
          <w:sz w:val="26"/>
          <w:szCs w:val="26"/>
        </w:rPr>
        <w:t xml:space="preserve">Анатолий </w:t>
      </w:r>
      <w:proofErr w:type="spellStart"/>
      <w:r w:rsidR="00BF1A6E">
        <w:rPr>
          <w:rFonts w:ascii="Times New Roman" w:hAnsi="Times New Roman" w:cs="Times New Roman"/>
          <w:sz w:val="26"/>
          <w:szCs w:val="26"/>
        </w:rPr>
        <w:t>Ботов</w:t>
      </w:r>
      <w:proofErr w:type="spellEnd"/>
      <w:r w:rsidRPr="0096251C">
        <w:rPr>
          <w:rFonts w:ascii="Times New Roman" w:hAnsi="Times New Roman" w:cs="Times New Roman"/>
          <w:sz w:val="26"/>
          <w:szCs w:val="26"/>
        </w:rPr>
        <w:t>/</w:t>
      </w:r>
    </w:p>
    <w:sectPr w:rsidR="00A34BD6" w:rsidRPr="0096251C" w:rsidSect="00335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D6"/>
    <w:rsid w:val="00034936"/>
    <w:rsid w:val="0006244C"/>
    <w:rsid w:val="000C1707"/>
    <w:rsid w:val="0012484C"/>
    <w:rsid w:val="00180B94"/>
    <w:rsid w:val="0018744E"/>
    <w:rsid w:val="002267E6"/>
    <w:rsid w:val="0024161C"/>
    <w:rsid w:val="003352B0"/>
    <w:rsid w:val="003B32B8"/>
    <w:rsid w:val="00490D33"/>
    <w:rsid w:val="004A40DA"/>
    <w:rsid w:val="004B5C65"/>
    <w:rsid w:val="004F325B"/>
    <w:rsid w:val="004F6FC6"/>
    <w:rsid w:val="00521762"/>
    <w:rsid w:val="005E69DB"/>
    <w:rsid w:val="00605831"/>
    <w:rsid w:val="00660DEC"/>
    <w:rsid w:val="00661B47"/>
    <w:rsid w:val="006C250A"/>
    <w:rsid w:val="00722FA5"/>
    <w:rsid w:val="00763209"/>
    <w:rsid w:val="007E1996"/>
    <w:rsid w:val="007E3306"/>
    <w:rsid w:val="00810919"/>
    <w:rsid w:val="008344F2"/>
    <w:rsid w:val="0083653A"/>
    <w:rsid w:val="008A05B2"/>
    <w:rsid w:val="0090737F"/>
    <w:rsid w:val="0092092A"/>
    <w:rsid w:val="0096251C"/>
    <w:rsid w:val="009B0E9A"/>
    <w:rsid w:val="00A20FDA"/>
    <w:rsid w:val="00A34BD6"/>
    <w:rsid w:val="00B674A5"/>
    <w:rsid w:val="00BE07D9"/>
    <w:rsid w:val="00BF1A6E"/>
    <w:rsid w:val="00C17307"/>
    <w:rsid w:val="00C346B1"/>
    <w:rsid w:val="00C70D0A"/>
    <w:rsid w:val="00D30E29"/>
    <w:rsid w:val="00D36852"/>
    <w:rsid w:val="00E21216"/>
    <w:rsid w:val="00E307B3"/>
    <w:rsid w:val="00E7498B"/>
    <w:rsid w:val="00EC01EA"/>
    <w:rsid w:val="00F204E1"/>
    <w:rsid w:val="00FD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Nevyanka D. Dobreva</dc:creator>
  <cp:lastModifiedBy>Невянка Добрева</cp:lastModifiedBy>
  <cp:revision>36</cp:revision>
  <dcterms:created xsi:type="dcterms:W3CDTF">2019-03-25T09:24:00Z</dcterms:created>
  <dcterms:modified xsi:type="dcterms:W3CDTF">2025-03-25T12:18:00Z</dcterms:modified>
</cp:coreProperties>
</file>